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282"/>
          <w:tab w:val="right" w:pos="9492"/>
          <w:tab w:val="clear" w:pos="4536"/>
          <w:tab w:val="clear" w:pos="9072"/>
        </w:tabs>
        <w:snapToGrid w:val="0"/>
        <w:spacing w:before="0"/>
        <w:rPr>
          <w:rFonts w:ascii="Times New Roman" w:hAnsi="Times New Roman" w:eastAsia="宋体"/>
          <w:sz w:val="22"/>
          <w:szCs w:val="22"/>
          <w:lang w:eastAsia="zh-CN"/>
        </w:rPr>
      </w:pPr>
      <w:bookmarkStart w:id="0" w:name="_Hlk118639744"/>
      <w:bookmarkEnd w:id="0"/>
      <w:r>
        <w:rPr>
          <w:rFonts w:ascii="Times New Roman" w:hAnsi="Times New Roman"/>
          <w:sz w:val="22"/>
          <w:szCs w:val="22"/>
        </w:rPr>
        <w:t>3GPP TSG RAN WG1 Meeting #1</w:t>
      </w:r>
      <w:r>
        <w:rPr>
          <w:rFonts w:ascii="Times New Roman" w:hAnsi="Times New Roman" w:eastAsia="宋体"/>
          <w:sz w:val="22"/>
          <w:szCs w:val="22"/>
          <w:lang w:eastAsia="zh-CN"/>
        </w:rPr>
        <w:t>18bis</w:t>
      </w:r>
      <w:r>
        <w:rPr>
          <w:rFonts w:ascii="Times New Roman" w:hAnsi="Times New Roman" w:eastAsia="宋体"/>
          <w:sz w:val="22"/>
          <w:szCs w:val="22"/>
          <w:lang w:eastAsia="zh-CN"/>
        </w:rPr>
        <w:tab/>
      </w:r>
      <w:r>
        <w:rPr>
          <w:rFonts w:ascii="Times New Roman" w:hAnsi="Times New Roman"/>
          <w:sz w:val="22"/>
          <w:szCs w:val="22"/>
          <w:lang w:eastAsia="ja-JP"/>
        </w:rPr>
        <w:t>R1-240</w:t>
      </w:r>
      <w:r>
        <w:rPr>
          <w:rFonts w:hint="eastAsia" w:ascii="Times New Roman" w:hAnsi="Times New Roman" w:eastAsia="宋体"/>
          <w:sz w:val="22"/>
          <w:szCs w:val="22"/>
          <w:lang w:eastAsia="zh-CN"/>
        </w:rPr>
        <w:t>7774</w:t>
      </w:r>
    </w:p>
    <w:p>
      <w:pPr>
        <w:snapToGrid w:val="0"/>
        <w:spacing w:before="0" w:after="0" w:line="240" w:lineRule="auto"/>
        <w:rPr>
          <w:b/>
          <w:sz w:val="22"/>
        </w:rPr>
      </w:pPr>
      <w:r>
        <w:rPr>
          <w:rFonts w:hint="eastAsia"/>
          <w:b/>
          <w:sz w:val="22"/>
        </w:rPr>
        <w:t>Hefei</w:t>
      </w:r>
      <w:r>
        <w:rPr>
          <w:b/>
          <w:sz w:val="22"/>
        </w:rPr>
        <w:t>, China,</w:t>
      </w:r>
      <w:r>
        <w:rPr>
          <w:b/>
          <w:sz w:val="22"/>
          <w:lang w:eastAsia="ja-JP"/>
        </w:rPr>
        <w:t xml:space="preserve"> </w:t>
      </w:r>
      <w:r>
        <w:rPr>
          <w:b/>
          <w:sz w:val="22"/>
        </w:rPr>
        <w:t>Oct 14</w:t>
      </w:r>
      <w:r>
        <w:rPr>
          <w:rFonts w:hint="eastAsia"/>
          <w:b/>
          <w:sz w:val="22"/>
          <w:vertAlign w:val="superscript"/>
        </w:rPr>
        <w:t>th</w:t>
      </w:r>
      <w:r>
        <w:rPr>
          <w:rFonts w:eastAsia="MS Mincho"/>
          <w:b/>
          <w:sz w:val="22"/>
          <w:lang w:eastAsia="ja-JP"/>
        </w:rPr>
        <w:t xml:space="preserve"> –</w:t>
      </w:r>
      <w:r>
        <w:rPr>
          <w:rFonts w:eastAsia="MS Mincho"/>
          <w:b/>
          <w:sz w:val="22"/>
          <w:lang w:eastAsia="en-US"/>
        </w:rPr>
        <w:t xml:space="preserve"> </w:t>
      </w:r>
      <w:r>
        <w:rPr>
          <w:b/>
          <w:sz w:val="22"/>
        </w:rPr>
        <w:t>Oct 18</w:t>
      </w:r>
      <w:r>
        <w:rPr>
          <w:rFonts w:hint="eastAsia"/>
          <w:b/>
          <w:sz w:val="22"/>
          <w:vertAlign w:val="superscript"/>
        </w:rPr>
        <w:t>th</w:t>
      </w:r>
      <w:r>
        <w:rPr>
          <w:rFonts w:eastAsia="MS Mincho"/>
          <w:b/>
          <w:sz w:val="22"/>
          <w:lang w:eastAsia="ja-JP"/>
        </w:rPr>
        <w:t>, 20</w:t>
      </w:r>
      <w:r>
        <w:rPr>
          <w:b/>
          <w:sz w:val="22"/>
        </w:rPr>
        <w:t>2</w:t>
      </w:r>
      <w:r>
        <w:rPr>
          <w:rFonts w:hint="eastAsia"/>
          <w:b/>
          <w:sz w:val="22"/>
        </w:rPr>
        <w:t>4</w:t>
      </w:r>
    </w:p>
    <w:p>
      <w:pPr>
        <w:pStyle w:val="19"/>
        <w:tabs>
          <w:tab w:val="left" w:pos="1805"/>
          <w:tab w:val="clear" w:pos="4536"/>
        </w:tabs>
        <w:snapToGrid w:val="0"/>
        <w:spacing w:before="0"/>
        <w:ind w:left="1803" w:hanging="1803"/>
        <w:rPr>
          <w:rFonts w:ascii="Times New Roman" w:hAnsi="Times New Roman"/>
          <w:sz w:val="22"/>
          <w:szCs w:val="22"/>
          <w:lang w:eastAsia="zh-CN"/>
        </w:rPr>
      </w:pPr>
    </w:p>
    <w:p>
      <w:pPr>
        <w:pStyle w:val="19"/>
        <w:tabs>
          <w:tab w:val="left" w:pos="1805"/>
          <w:tab w:val="clear" w:pos="4536"/>
        </w:tabs>
        <w:snapToGrid w:val="0"/>
        <w:spacing w:before="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 Corporation, Sanechips</w:t>
      </w:r>
    </w:p>
    <w:p>
      <w:pPr>
        <w:pStyle w:val="19"/>
        <w:tabs>
          <w:tab w:val="left" w:pos="1800"/>
        </w:tabs>
        <w:snapToGrid w:val="0"/>
        <w:spacing w:before="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sz w:val="22"/>
          <w:szCs w:val="22"/>
        </w:rPr>
        <w:t>Discussion on CSI enhancements</w:t>
      </w:r>
    </w:p>
    <w:p>
      <w:pPr>
        <w:pStyle w:val="19"/>
        <w:tabs>
          <w:tab w:val="left" w:pos="1800"/>
        </w:tabs>
        <w:snapToGrid w:val="0"/>
        <w:spacing w:before="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ascii="Times New Roman" w:hAnsi="Times New Roman"/>
          <w:sz w:val="22"/>
          <w:szCs w:val="22"/>
          <w:lang w:eastAsia="zh-CN"/>
        </w:rPr>
        <w:t>9.</w:t>
      </w:r>
      <w:r>
        <w:rPr>
          <w:rFonts w:hint="eastAsia" w:ascii="Times New Roman" w:hAnsi="Times New Roman"/>
          <w:sz w:val="22"/>
          <w:szCs w:val="22"/>
          <w:lang w:eastAsia="zh-CN"/>
        </w:rPr>
        <w:t>2</w:t>
      </w:r>
      <w:r>
        <w:rPr>
          <w:rFonts w:ascii="Times New Roman" w:hAnsi="Times New Roman"/>
          <w:sz w:val="22"/>
          <w:szCs w:val="22"/>
          <w:lang w:eastAsia="zh-CN"/>
        </w:rPr>
        <w:t>.2</w:t>
      </w:r>
    </w:p>
    <w:p>
      <w:pPr>
        <w:pBdr>
          <w:bottom w:val="single" w:color="auto" w:sz="6" w:space="1"/>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numPr>
          <w:ilvl w:val="0"/>
          <w:numId w:val="8"/>
        </w:numPr>
        <w:tabs>
          <w:tab w:val="clear" w:pos="432"/>
        </w:tabs>
        <w:snapToGrid w:val="0"/>
        <w:spacing w:before="240" w:afterLines="50" w:line="240" w:lineRule="auto"/>
        <w:ind w:left="425" w:hanging="425"/>
        <w:outlineLvl w:val="0"/>
        <w:rPr>
          <w:b/>
          <w:sz w:val="28"/>
          <w:szCs w:val="28"/>
        </w:rPr>
      </w:pPr>
      <w:r>
        <w:rPr>
          <w:b/>
          <w:sz w:val="28"/>
          <w:szCs w:val="28"/>
        </w:rPr>
        <w:t>Introduction</w:t>
      </w:r>
    </w:p>
    <w:p>
      <w:r>
        <w:rPr>
          <w:lang w:val="en-GB"/>
        </w:rPr>
        <w:t>In RAN#</w:t>
      </w:r>
      <w:r>
        <w:rPr>
          <w:rFonts w:hint="eastAsia"/>
        </w:rPr>
        <w:t>102</w:t>
      </w:r>
      <w:r>
        <w:rPr>
          <w:lang w:val="en-GB"/>
        </w:rPr>
        <w:t xml:space="preserve">, </w:t>
      </w:r>
      <w:r>
        <w:t>a new WID for MIMO evolution for downlink and uplink was approved for Rel-1</w:t>
      </w:r>
      <w:r>
        <w:rPr>
          <w:rFonts w:hint="eastAsia"/>
        </w:rPr>
        <w:t>9</w:t>
      </w:r>
      <w:r>
        <w:t xml:space="preserve"> [1]. </w:t>
      </w:r>
      <w:r>
        <w:rPr>
          <w:lang w:val="en-GB"/>
        </w:rPr>
        <w:t>Among items</w:t>
      </w:r>
      <w:r>
        <w:t xml:space="preserve"> in this WID, two aspects corresponding to CSI enhancement(s) are captured, i.e., </w:t>
      </w:r>
      <w:r>
        <w:rPr>
          <w:lang w:eastAsia="en-US"/>
        </w:rPr>
        <w:t>Type-I</w:t>
      </w:r>
      <w:r>
        <w:rPr>
          <w:rFonts w:hint="eastAsia"/>
        </w:rPr>
        <w:t>/Type-II</w:t>
      </w:r>
      <w:r>
        <w:rPr>
          <w:lang w:eastAsia="en-US"/>
        </w:rPr>
        <w:t xml:space="preserve"> codebook refinement supporting up to 128 CSI-RS ports</w:t>
      </w:r>
      <w:r>
        <w:rPr>
          <w:rFonts w:hint="eastAsia"/>
        </w:rPr>
        <w:t>,</w:t>
      </w:r>
      <w:r>
        <w:t xml:space="preserve"> hybrid CSI enhancement and </w:t>
      </w:r>
      <w:r>
        <w:rPr>
          <w:lang w:eastAsia="en-US"/>
        </w:rPr>
        <w:t xml:space="preserve">UE reporting enhancement for CJT </w:t>
      </w:r>
      <w:r>
        <w:rPr>
          <w:rFonts w:hint="eastAsia"/>
        </w:rPr>
        <w:t>calibration in</w:t>
      </w:r>
      <w:r>
        <w:rPr>
          <w:lang w:eastAsia="en-US"/>
        </w:rPr>
        <w:t xml:space="preserve"> non-ideal synchronization and backhaul</w:t>
      </w:r>
      <w:r>
        <w:rPr>
          <w:rFonts w:hint="eastAsia"/>
        </w:rPr>
        <w:t xml:space="preserve"> scenario</w:t>
      </w:r>
      <w:r>
        <w:t>. In this contribution, we elaborate our views on above two aspects, respectively.</w:t>
      </w:r>
    </w:p>
    <w:p>
      <w:pPr>
        <w:keepNext/>
        <w:widowControl w:val="0"/>
        <w:numPr>
          <w:ilvl w:val="0"/>
          <w:numId w:val="8"/>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CSI enhancement for up to 128 CSI-RS ports on FR1</w:t>
      </w:r>
    </w:p>
    <w:p>
      <w:pPr>
        <w:rPr>
          <w:lang w:val="en-GB"/>
        </w:rPr>
      </w:pPr>
      <w:r>
        <w:rPr>
          <w:rFonts w:hint="eastAsia"/>
        </w:rPr>
        <w:t>As the</w:t>
      </w:r>
      <w:r>
        <w:rPr>
          <w:rFonts w:hint="eastAsia"/>
          <w:lang w:val="en-GB"/>
        </w:rPr>
        <w:t xml:space="preserve"> MIMO</w:t>
      </w:r>
      <w:r>
        <w:rPr>
          <w:rFonts w:hint="eastAsia"/>
        </w:rPr>
        <w:t xml:space="preserve"> technology</w:t>
      </w:r>
      <w:r>
        <w:rPr>
          <w:rFonts w:hint="eastAsia"/>
          <w:lang w:val="en-GB"/>
        </w:rPr>
        <w:t xml:space="preserve"> </w:t>
      </w:r>
      <w:r>
        <w:rPr>
          <w:rFonts w:hint="eastAsia"/>
        </w:rPr>
        <w:t>develops</w:t>
      </w:r>
      <w:r>
        <w:rPr>
          <w:rFonts w:hint="eastAsia"/>
          <w:lang w:val="en-GB"/>
        </w:rPr>
        <w:t xml:space="preserve"> from LTE to NR (then to NR-Advanced), </w:t>
      </w:r>
      <w:r>
        <w:rPr>
          <w:rFonts w:hint="eastAsia"/>
        </w:rPr>
        <w:t>the number of antenna ports has been continuously increased to achieve better coverage and higher spectrum efficiency. A</w:t>
      </w:r>
      <w:r>
        <w:rPr>
          <w:lang w:val="en-GB"/>
        </w:rPr>
        <w:t>mong items</w:t>
      </w:r>
      <w:r>
        <w:t xml:space="preserve"> in </w:t>
      </w:r>
      <w:r>
        <w:rPr>
          <w:rFonts w:hint="eastAsia"/>
        </w:rPr>
        <w:t>the</w:t>
      </w:r>
      <w:r>
        <w:t xml:space="preserve"> WID for DL</w:t>
      </w:r>
      <w:r>
        <w:rPr>
          <w:rFonts w:hint="eastAsia"/>
        </w:rPr>
        <w:t>/UL</w:t>
      </w:r>
      <w:r>
        <w:t xml:space="preserve"> MIMO, </w:t>
      </w:r>
      <w:r>
        <w:rPr>
          <w:lang w:val="en-GB"/>
        </w:rPr>
        <w:t xml:space="preserve">the aspects for </w:t>
      </w:r>
      <w:r>
        <w:rPr>
          <w:lang w:eastAsia="en-US"/>
        </w:rPr>
        <w:t xml:space="preserve">CSI </w:t>
      </w:r>
      <w:r>
        <w:t xml:space="preserve">enhancement </w:t>
      </w:r>
      <w:r>
        <w:rPr>
          <w:rFonts w:hint="eastAsia"/>
        </w:rPr>
        <w:t>supporting</w:t>
      </w:r>
      <w:r>
        <w:rPr>
          <w:lang w:eastAsia="en-US"/>
        </w:rPr>
        <w:t xml:space="preserve"> up to 128 CSI-RS ports, targeting FR1</w:t>
      </w:r>
      <w:r>
        <w:rPr>
          <w:rFonts w:hint="eastAsia"/>
        </w:rPr>
        <w:t>,</w:t>
      </w:r>
      <w:r>
        <w:rPr>
          <w:lang w:val="en-GB"/>
        </w:rPr>
        <w:t xml:space="preserve"> are listed </w:t>
      </w:r>
      <w:r>
        <w:t xml:space="preserve">as </w:t>
      </w:r>
      <w:r>
        <w:rPr>
          <w:lang w:val="en-GB"/>
        </w:rPr>
        <w:t>below.</w:t>
      </w: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numPr>
                <w:ilvl w:val="0"/>
                <w:numId w:val="9"/>
              </w:numPr>
              <w:snapToGrid w:val="0"/>
              <w:spacing w:before="0" w:after="0"/>
              <w:rPr>
                <w:rFonts w:eastAsia="Times New Roman"/>
                <w:szCs w:val="24"/>
                <w:lang w:eastAsia="en-US"/>
              </w:rPr>
            </w:pPr>
            <w:r>
              <w:rPr>
                <w:rFonts w:eastAsia="Times New Roman"/>
                <w:szCs w:val="24"/>
                <w:lang w:eastAsia="en-US"/>
              </w:rPr>
              <w:t>Specify CSI support for up to 128 CSI-RS ports, targeting FR1</w:t>
            </w:r>
          </w:p>
          <w:p>
            <w:pPr>
              <w:numPr>
                <w:ilvl w:val="1"/>
                <w:numId w:val="9"/>
              </w:numPr>
              <w:snapToGrid w:val="0"/>
              <w:spacing w:before="0" w:after="0"/>
              <w:rPr>
                <w:rFonts w:eastAsia="Times New Roman"/>
                <w:szCs w:val="24"/>
                <w:lang w:eastAsia="en-US"/>
              </w:rPr>
            </w:pPr>
            <w:r>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pPr>
              <w:numPr>
                <w:ilvl w:val="1"/>
                <w:numId w:val="9"/>
              </w:numPr>
              <w:snapToGrid w:val="0"/>
              <w:spacing w:before="0" w:after="0"/>
              <w:rPr>
                <w:rFonts w:eastAsia="Times New Roman"/>
                <w:szCs w:val="24"/>
                <w:lang w:eastAsia="en-US"/>
              </w:rPr>
            </w:pPr>
            <w:r>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pPr>
              <w:numPr>
                <w:ilvl w:val="1"/>
                <w:numId w:val="9"/>
              </w:numPr>
              <w:snapToGrid w:val="0"/>
              <w:spacing w:before="0" w:after="0"/>
              <w:rPr>
                <w:szCs w:val="20"/>
              </w:rPr>
            </w:pPr>
            <w:r>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p>
        </w:tc>
      </w:tr>
    </w:tbl>
    <w:p>
      <w:pPr>
        <w:numPr>
          <w:ilvl w:val="1"/>
          <w:numId w:val="8"/>
        </w:numPr>
        <w:tabs>
          <w:tab w:val="clear" w:pos="576"/>
        </w:tabs>
        <w:snapToGrid w:val="0"/>
        <w:spacing w:before="240" w:afterLines="50" w:line="240" w:lineRule="auto"/>
        <w:ind w:left="567" w:hanging="567"/>
        <w:outlineLvl w:val="1"/>
        <w:rPr>
          <w:b/>
          <w:sz w:val="24"/>
          <w:szCs w:val="20"/>
        </w:rPr>
      </w:pPr>
      <w:r>
        <w:rPr>
          <w:rFonts w:hint="eastAsia"/>
          <w:b/>
          <w:sz w:val="24"/>
          <w:szCs w:val="20"/>
        </w:rPr>
        <w:t>Type-I</w:t>
      </w:r>
      <w:r>
        <w:rPr>
          <w:b/>
          <w:sz w:val="24"/>
          <w:szCs w:val="20"/>
        </w:rPr>
        <w:t>/Type-II</w:t>
      </w:r>
      <w:r>
        <w:rPr>
          <w:rFonts w:hint="eastAsia"/>
          <w:b/>
          <w:sz w:val="24"/>
          <w:szCs w:val="20"/>
        </w:rPr>
        <w:t xml:space="preserve"> codebook refinement</w:t>
      </w:r>
    </w:p>
    <w:p>
      <w:pPr>
        <w:pStyle w:val="112"/>
        <w:numPr>
          <w:ilvl w:val="2"/>
          <w:numId w:val="8"/>
        </w:numPr>
        <w:snapToGrid w:val="0"/>
        <w:spacing w:before="72" w:beforeLines="30" w:after="72" w:afterLines="30" w:line="300" w:lineRule="auto"/>
        <w:ind w:firstLineChars="0"/>
        <w:textAlignment w:val="center"/>
        <w:outlineLvl w:val="2"/>
        <w:rPr>
          <w:b/>
          <w:bCs/>
          <w:sz w:val="21"/>
          <w:szCs w:val="21"/>
        </w:rPr>
      </w:pPr>
      <w:r>
        <w:rPr>
          <w:b/>
          <w:bCs/>
          <w:sz w:val="21"/>
          <w:szCs w:val="21"/>
        </w:rPr>
        <w:t xml:space="preserve">Type-I SP </w:t>
      </w:r>
      <w:r>
        <w:rPr>
          <w:rFonts w:hint="eastAsia"/>
          <w:b/>
          <w:bCs/>
          <w:sz w:val="21"/>
          <w:szCs w:val="21"/>
        </w:rPr>
        <w:t xml:space="preserve">codebook for </w:t>
      </w:r>
      <m:oMath>
        <m:sSub>
          <m:sSubPr>
            <m:ctrlPr>
              <w:rPr>
                <w:rFonts w:ascii="Cambria Math" w:hAnsi="Cambria Math"/>
                <w:b/>
                <w:i/>
                <w:sz w:val="21"/>
                <w:szCs w:val="21"/>
              </w:rPr>
            </m:ctrlPr>
          </m:sSubPr>
          <m:e>
            <m:r>
              <m:rPr>
                <m:sty m:val="bi"/>
              </m:rPr>
              <w:rPr>
                <w:rFonts w:ascii="Cambria Math" w:hAnsi="Cambria Math"/>
                <w:sz w:val="21"/>
                <w:szCs w:val="21"/>
              </w:rPr>
              <m:t>P</m:t>
            </m:r>
            <m:ctrlPr>
              <w:rPr>
                <w:rFonts w:ascii="Cambria Math" w:hAnsi="Cambria Math"/>
                <w:b/>
                <w:i/>
                <w:sz w:val="21"/>
                <w:szCs w:val="21"/>
              </w:rPr>
            </m:ctrlPr>
          </m:e>
          <m:sub>
            <m:r>
              <m:rPr>
                <m:sty m:val="b"/>
              </m:rPr>
              <w:rPr>
                <w:rFonts w:ascii="Cambria Math" w:hAnsi="Cambria Math"/>
                <w:sz w:val="21"/>
                <w:szCs w:val="21"/>
              </w:rPr>
              <m:t>CSI−RS</m:t>
            </m:r>
            <m:ctrlPr>
              <w:rPr>
                <w:rFonts w:ascii="Cambria Math" w:hAnsi="Cambria Math"/>
                <w:b/>
                <w:i/>
                <w:sz w:val="21"/>
                <w:szCs w:val="21"/>
              </w:rPr>
            </m:ctrlPr>
          </m:sub>
        </m:sSub>
        <m:r>
          <m:rPr>
            <m:sty m:val="bi"/>
          </m:rPr>
          <w:rPr>
            <w:rFonts w:ascii="Cambria Math" w:hAnsi="Cambria Math"/>
            <w:sz w:val="21"/>
            <w:szCs w:val="21"/>
          </w:rPr>
          <m:t>≤32</m:t>
        </m:r>
      </m:oMath>
    </w:p>
    <w:p>
      <w:pPr>
        <w:rPr>
          <w:b/>
          <w:bCs/>
          <w:sz w:val="21"/>
          <w:szCs w:val="21"/>
        </w:rPr>
      </w:pPr>
      <w:r>
        <w:rPr>
          <w:rFonts w:hint="eastAsia"/>
        </w:rPr>
        <w:t>R</w:t>
      </w:r>
      <w:r>
        <w:t xml:space="preserve">egarding </w:t>
      </w:r>
      <w:r>
        <w:rPr>
          <w:rFonts w:hint="eastAsia"/>
        </w:rPr>
        <w:t xml:space="preserve">the </w:t>
      </w:r>
      <w:r>
        <w:rPr>
          <w:rFonts w:eastAsia="Batang"/>
          <w:iCs/>
          <w:szCs w:val="20"/>
          <w:lang w:val="en-GB" w:eastAsia="en-US"/>
        </w:rPr>
        <w:t>Rel-19 Type-I single-panel (SP) codebook refinement for 48, 64, and 128 CSI-RS ports</w:t>
      </w:r>
      <w:r>
        <w:t>, the following agreement was reached in RAN1#11</w:t>
      </w:r>
      <w:r>
        <w:rPr>
          <w:rFonts w:hint="eastAsia"/>
        </w:rPr>
        <w:t>6-bis</w:t>
      </w:r>
      <w:r>
        <w:t>.</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numPr>
                <w:ilvl w:val="255"/>
                <w:numId w:val="0"/>
              </w:numPr>
              <w:snapToGrid w:val="0"/>
              <w:spacing w:before="0" w:after="0" w:line="240" w:lineRule="auto"/>
              <w:jc w:val="left"/>
              <w:rPr>
                <w:rFonts w:eastAsiaTheme="minorEastAsia"/>
                <w:b/>
                <w:bCs/>
                <w:szCs w:val="24"/>
                <w:u w:val="single"/>
                <w:lang w:val="en-GB"/>
              </w:rPr>
            </w:pPr>
            <w:r>
              <w:rPr>
                <w:rFonts w:eastAsia="Batang"/>
                <w:b/>
                <w:bCs/>
                <w:szCs w:val="24"/>
                <w:u w:val="single"/>
                <w:lang w:val="en-GB"/>
              </w:rPr>
              <w:t>Agreement (RAN1#11</w:t>
            </w:r>
            <w:r>
              <w:rPr>
                <w:rFonts w:hint="eastAsia" w:eastAsia="Batang"/>
                <w:b/>
                <w:bCs/>
                <w:szCs w:val="24"/>
                <w:u w:val="single"/>
              </w:rPr>
              <w:t>6-bis</w:t>
            </w:r>
            <w:r>
              <w:rPr>
                <w:rFonts w:eastAsia="Batang"/>
                <w:b/>
                <w:bCs/>
                <w:szCs w:val="24"/>
                <w:u w:val="single"/>
                <w:lang w:val="en-GB"/>
              </w:rPr>
              <w:t>)</w:t>
            </w:r>
          </w:p>
          <w:p>
            <w:pPr>
              <w:numPr>
                <w:ilvl w:val="255"/>
                <w:numId w:val="0"/>
              </w:numPr>
              <w:snapToGrid w:val="0"/>
              <w:spacing w:before="0" w:after="0" w:line="240" w:lineRule="auto"/>
              <w:jc w:val="left"/>
              <w:rPr>
                <w:rFonts w:eastAsia="Batang"/>
                <w:iCs/>
                <w:szCs w:val="20"/>
                <w:lang w:val="en-GB" w:eastAsia="en-US"/>
              </w:rPr>
            </w:pPr>
            <w:r>
              <w:rPr>
                <w:rFonts w:eastAsia="Batang"/>
                <w:iCs/>
                <w:szCs w:val="20"/>
                <w:lang w:val="en-GB" w:eastAsia="en-US"/>
              </w:rPr>
              <w:t>For the Rel-19 Type-I single-panel (SP) codebook refinement for 48, 64, and 128 CSI-RS ports, for RI=1-4, support the following:</w:t>
            </w:r>
          </w:p>
          <w:p>
            <w:pPr>
              <w:numPr>
                <w:ilvl w:val="0"/>
                <w:numId w:val="10"/>
              </w:numPr>
              <w:snapToGrid w:val="0"/>
              <w:spacing w:before="0" w:after="0"/>
              <w:jc w:val="left"/>
              <w:rPr>
                <w:rFonts w:eastAsia="Batang"/>
                <w:iCs/>
                <w:szCs w:val="20"/>
                <w:lang w:val="en-GB" w:eastAsia="en-US"/>
              </w:rPr>
            </w:pPr>
            <w:r>
              <w:rPr>
                <w:rFonts w:eastAsia="Batang"/>
                <w:iCs/>
                <w:szCs w:val="20"/>
                <w:lang w:val="en-GB" w:eastAsia="en-US"/>
              </w:rPr>
              <w:t>Scheme-A (based on Scheme1 in RAN1#116 agreement): Adding new (N1, N2) values for the Rel-15 Type-I single-panel codebook mode-1 (L=1) where 2N1N2 (&gt;32) is the total number of CSI-RS ports across aggregated NZP CSI-RS resources, and for rank-3/4, follow legacy mechanisms for &lt;16 ports</w:t>
            </w:r>
          </w:p>
          <w:p>
            <w:pPr>
              <w:numPr>
                <w:ilvl w:val="0"/>
                <w:numId w:val="10"/>
              </w:numPr>
              <w:snapToGrid w:val="0"/>
              <w:spacing w:before="0" w:after="0" w:line="240" w:lineRule="auto"/>
              <w:ind w:left="726" w:hanging="363"/>
              <w:jc w:val="left"/>
              <w:rPr>
                <w:rFonts w:eastAsia="Batang"/>
                <w:iCs/>
                <w:szCs w:val="20"/>
                <w:lang w:val="en-GB" w:eastAsia="en-US"/>
              </w:rPr>
            </w:pPr>
            <w:r>
              <w:rPr>
                <w:rFonts w:eastAsia="Batang"/>
                <w:iCs/>
                <w:szCs w:val="20"/>
                <w:lang w:val="en-GB" w:eastAsia="en-US"/>
              </w:rPr>
              <w:t>Scheme-B (based on Scheme2 in RAN1#116 agreement): Adding new (N1, N2) values where 2N1N2 (&gt;32) is the total number of CSI-RS ports across aggregated NZP CSI-RS resources, and</w:t>
            </w:r>
          </w:p>
          <w:p>
            <w:pPr>
              <w:numPr>
                <w:ilvl w:val="1"/>
                <w:numId w:val="11"/>
              </w:numPr>
              <w:snapToGrid w:val="0"/>
              <w:spacing w:after="0" w:line="240" w:lineRule="auto"/>
              <w:jc w:val="left"/>
              <w:rPr>
                <w:rFonts w:ascii="Times" w:hAnsi="Times"/>
                <w:szCs w:val="20"/>
                <w:lang w:val="en-GB" w:eastAsia="en-US"/>
              </w:rPr>
            </w:pPr>
            <w:r>
              <w:rPr>
                <w:rFonts w:ascii="Times" w:hAnsi="Times"/>
                <w:szCs w:val="20"/>
                <w:lang w:val="en-GB" w:eastAsia="en-US"/>
              </w:rPr>
              <w:t>W</w:t>
            </w:r>
            <w:r>
              <w:rPr>
                <w:rFonts w:ascii="Times" w:hAnsi="Times"/>
                <w:szCs w:val="20"/>
                <w:vertAlign w:val="subscript"/>
                <w:lang w:val="en-GB" w:eastAsia="en-US"/>
              </w:rPr>
              <w:t>1</w:t>
            </w:r>
            <w:r>
              <w:rPr>
                <w:rFonts w:ascii="Times" w:hAnsi="Times"/>
                <w:szCs w:val="20"/>
                <w:lang w:val="en-GB" w:eastAsia="en-US"/>
              </w:rPr>
              <w:t xml:space="preserve"> structure: </w:t>
            </w:r>
          </w:p>
          <w:p>
            <w:pPr>
              <w:numPr>
                <w:ilvl w:val="2"/>
                <w:numId w:val="11"/>
              </w:numPr>
              <w:snapToGrid w:val="0"/>
              <w:spacing w:after="0" w:line="240" w:lineRule="auto"/>
              <w:jc w:val="left"/>
              <w:rPr>
                <w:rFonts w:ascii="Times" w:hAnsi="Times"/>
                <w:szCs w:val="20"/>
                <w:lang w:val="en-GB" w:eastAsia="en-US"/>
              </w:rPr>
            </w:pPr>
            <w:r>
              <w:rPr>
                <w:rFonts w:ascii="Times" w:hAnsi="Times"/>
                <w:szCs w:val="20"/>
                <w:lang w:val="en-GB" w:eastAsia="en-US"/>
              </w:rPr>
              <w:t>For each layer, reuse legacy Rel-16 eType-II SD basis with L=1 to determine the DFT-based SD basis candidates</w:t>
            </w:r>
          </w:p>
          <w:p>
            <w:pPr>
              <w:numPr>
                <w:ilvl w:val="2"/>
                <w:numId w:val="11"/>
              </w:numPr>
              <w:snapToGrid w:val="0"/>
              <w:spacing w:after="0" w:line="240" w:lineRule="auto"/>
              <w:jc w:val="left"/>
              <w:rPr>
                <w:rFonts w:ascii="Times" w:hAnsi="Times"/>
                <w:szCs w:val="20"/>
                <w:lang w:val="en-GB" w:eastAsia="en-US"/>
              </w:rPr>
            </w:pPr>
            <w:r>
              <w:rPr>
                <w:rFonts w:ascii="Times" w:hAnsi="Times"/>
                <w:szCs w:val="20"/>
                <w:lang w:val="en-GB" w:eastAsia="en-US"/>
              </w:rPr>
              <w:t>For 1&lt;RI≤4, L=1 SD basis vector is independently selected for different layers</w:t>
            </w:r>
          </w:p>
          <w:p>
            <w:pPr>
              <w:numPr>
                <w:ilvl w:val="3"/>
                <w:numId w:val="11"/>
              </w:numPr>
              <w:snapToGrid w:val="0"/>
              <w:spacing w:after="0" w:line="240" w:lineRule="auto"/>
              <w:jc w:val="left"/>
              <w:rPr>
                <w:rFonts w:ascii="Times" w:hAnsi="Times"/>
                <w:szCs w:val="20"/>
                <w:lang w:val="en-GB" w:eastAsia="en-US"/>
              </w:rPr>
            </w:pPr>
            <w:r>
              <w:rPr>
                <w:rFonts w:ascii="Times" w:hAnsi="Times"/>
                <w:szCs w:val="20"/>
                <w:lang w:val="en-GB" w:eastAsia="en-US"/>
              </w:rPr>
              <w:t xml:space="preserve">The SD basis selection indication includes layer-common (q1,q2) and </w:t>
            </w:r>
            <w:r>
              <w:rPr>
                <w:rFonts w:ascii="Times" w:hAnsi="Times"/>
                <w:szCs w:val="20"/>
                <w:lang w:val="en-GB" w:eastAsia="en-US"/>
              </w:rPr>
              <w:fldChar w:fldCharType="begin"/>
            </w:r>
            <w:r>
              <w:rPr>
                <w:rFonts w:ascii="Times" w:hAnsi="Times"/>
                <w:szCs w:val="20"/>
                <w:lang w:val="en-GB" w:eastAsia="en-US"/>
              </w:rPr>
              <w:instrText xml:space="preserve"> QUOTE </w:instrText>
            </w:r>
            <w:r>
              <w:rPr>
                <w:rFonts w:ascii="Times" w:hAnsi="Times"/>
                <w:szCs w:val="20"/>
                <w:lang w:val="en-GB" w:eastAsia="en-US"/>
              </w:rPr>
              <w:pict>
                <v:shape id="_x0000_i1025" o:spt="75" type="#_x0000_t75" style="height:12pt;width:5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5EAA&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20B&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05EAA&quot; wsp:rsidRDefault=&quot;00205EAA&quot; wsp:rsidP=&quot;00205EAA&quot;&gt;&lt;m:oMathPara&gt;&lt;m:oMath&gt;&lt;m:d&gt;&lt;m:dPr&gt;&lt;m:begChr m:val=&quot;?&quot;/&gt;&lt;m:endChr m:val=&quot;?&quot;/&gt;&lt;m:ctrlPr&gt;&lt;w:rPr&gt;&lt;w:rFonts w:ascii=&quot;Cambria Math&quot; w:fareast=&quot;SimSun&quot; w:h-ansi=&quot;Cambria Math&quot;/&gt;&lt;wx:font wx:val=&quot;Cambria Math&quot;/&gt;&lt;w:i/&gt;&lt;w:sz-cs w:val=&quot;20&quot;/&gt;&lt;/w:rPr&gt;&lt;/m:ctrlPr&gt;&lt;/m:dPr&gt;&lt;m:e&gt;&lt;m:func&gt;&lt;m:funcPr&gt;&lt;m:ctrlPr&gt;&lt;w:rPr&gt;&lt;w:rFonts w:ascii=&quot;Cambria Math&quot; w:fareast=&quot;SimSun&quot; w:h-ansi=&quot;Cambria Math&quot;/&gt;&lt;wx:font wx:val=&quot;Cambria Math&quot;/&gt;&lt;w:i/&gt;&lt;w:sz-cs w:val=&quot;20&quot;/&gt;&lt;/w:rPr&gt;&lt;/m:ctrlPr&gt;&lt;/m:funcPr&gt;&lt;m:fName&gt;&lt;m:sSub&gt;&lt;m:sSubPr&gt;&lt;m:ctrlPr&gt;&lt;w:rPr&gt;&lt;w:rFonts w:ascii=&quot;Cambria Math&quot; w:fareast=&quot;SimSun&quot; w:h-ansi=&quot;Cambria Math&quot;/&gt;&lt;wx:font wx:val=&quot;Cambria Math&quot;/&gt;&lt;w:i/&gt;&lt;w:sz-cs w:val=&quot;20&quot;/&gt;&lt;/w:rPr&gt;&lt;/m:ctrlPr&gt;&lt;/m:sSubPr&gt;&lt;m:e&gt;&lt;m:r&gt;&lt;m:rPr&gt;&lt;m:sty m:val=&quot;p&quot;/&gt;&lt;/m:rPr&gt;&lt;w:rPr&gt;&lt;w:rFonts w:ascii=&quot;Cambria Math&quot; w:fareast=&quot;SimSun&quot; w:h-ansi=&quot;Cambria Math&quot;/&gt;&lt;wx:font wx:val=&quot;Cambria Math&quot;/&gt;&lt;w:sz-cs w:val=&quot;20&quot;/&gt;&lt;/w:rPr&gt;&lt;m:t&gt;log&lt;/m:t&gt;&lt;/m:r&gt;&lt;/m:e&gt;&lt;m:sub&gt;&lt;m:r&gt;&lt;w:rPr&gt;&lt;w:rFonts w:ascii=&quot;Cambria Math&quot; w:fareast=&quot;SimSun&quot; w:h-ansi=&quot;Cambria Math&quot;/&gt;&lt;wx:font wx:val=&quot;Cambria Math&quot;/&gt;&lt;w:i/&gt;&lt;w:sz-cs w:val=&quot;20&quot;/&gt;&lt;/w:rPr&gt;&lt;m:t&gt;2&lt;/m:t&gt;&lt;/m:r&gt;&lt;/m:sub&gt;&lt;/m:sSub&gt;&lt;/m:fName&gt;&lt;m:e&gt;&lt;m:d&gt;&lt;m:dPr&gt;&lt;m:ctrlPr&gt;&lt;w:rPr&gt;&lt;w:rFonts w:ascii=&quot;Cambria Math&quot; w:fareast=&quot;SimSun&quot; w:h-ansi=&quot;Cambria Math&quot;/&gt;&lt;wx:font wx:val=&quot;Cambria Math&quot;/&gt;&lt;w:i/&gt;&lt;w:sz-cs w:val=&quot;20&quot;/&gt;&lt;/w:rPr&gt;&lt;/m:ctrlPr&gt;&lt;/m:dPr&gt;&lt;m:e&gt;&lt;m:sSub&gt;&lt;m:sSubPr&gt;&lt;m:ctrlPr&gt;&lt;w:rPr&gt;&lt;w:rFonts w:ascii=&quot;Cambria Math&quot; w:fareast=&quot;SimSun&quot; w:h-ansi=&quot;Cambria Math&quot;/&gt;&lt;wx:font wx:val=&quot;Cambria Math&quot;/&gt;&lt;w:i/&gt;&lt;w:sz-cs w:val=&quot;20&quot;/&gt;&lt;/w:rPr&gt;&lt;/m:ctrlPr&gt;&lt;/m:sSubPr&gt;&lt;m:e&gt;&lt;m:r&gt;&lt;w:rPr&gt;&lt;w:rFonts w:ascii=&quot;Cambria Math&quot; w:fareast=&quot;SimSun&quot; w:h-ansi=&quot;Cambria Math&quot;/&gt;&lt;wx:font wx:val=&quot;Cambria Math&quot;/&gt;&lt;w:i/&gt;&lt;w:sz-cs w:val=&quot;20&quot;/&gt;&lt;/w:rPr&gt;&lt;m:t&gt;N&lt;/m:t&gt;&lt;/m:r&gt;&lt;/m:e&gt;&lt;m:sub&gt;&lt;m:r&gt;&lt;w:rPr&gt;&lt;w:rFonts w:ascii=&quot;Cambria Math&quot; w:fareast=&quot;SimSun&quot; w:h-ansi=&quot;Cambria Math&quot;/&gt;&lt;wx:font wx:val=&quot;Cambria Math&quot;/&gt;&lt;w:i/&gt;&lt;w:sz-cs w:val=&quot;20&quot;/&gt;&lt;/w:rPr&gt;&lt;m:t&gt;1&lt;/m:t&gt;&lt;/m:r&gt;&lt;/m:sub&gt;&lt;/m:sSub&gt;&lt;m:sSub&gt;&lt;m:sSubPr&gt;&lt;m:ctrlPr&gt;&lt;w:rPr&gt;&lt;w:rFonts w:ascii=&quot;Cambria Math&quot; w:fareast=&quot;SimSun&quot; w:h-ansi=&quot;Cambria Math&quot;/&gt;&lt;wx:font wx:val=&quot;Cambria Math&quot;/&gt;&lt;w:i/&gt;&lt;w:sz-cs w:val=&quot;20&quot;/&gt;&lt;/w:rPr&gt;&lt;/m:ctrlPr&gt;&lt;/m:sSubPr&gt;&lt;m:e&gt;&lt;m:r&gt;&lt;w:rPr&gt;&lt;w:rFonts w:ascii=&quot;Cambria Math&quot; w:fareast=&quot;SimSun&quot; w:h-ansi=&quot;Cambria Math&quot;/&gt;&lt;wx:font wx:val=&quot;Cambria Math&quot;/&gt;&lt;w:i/&gt;&lt;w:sz-cs w:val=&quot;20&quot;/&gt;&lt;/w:rPr&gt;&lt;m:t&gt;N&lt;/m:t&gt;&lt;/m:r&gt;&lt;/m:e&gt;&lt;m:sub&gt;&lt;m:r&gt;&lt;w:rPr&gt;&lt;w:rFonts w:ascii=&quot;Cambria Math&quot; w:fareast=&quot;SimSun&quot; w:h-ansi=&quot;Cambria Math&quot;/&gt;&lt;wx:font wx:val=&quot;Cambria Math&quot;/&gt;&lt;w:i/&gt;&lt;w:sz-cs w:val=&quot;20&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ascii="Times" w:hAnsi="Times"/>
                <w:szCs w:val="20"/>
                <w:lang w:val="en-GB" w:eastAsia="en-US"/>
              </w:rPr>
              <w:instrText xml:space="preserve"> </w:instrText>
            </w:r>
            <w:r>
              <w:rPr>
                <w:rFonts w:ascii="Times" w:hAnsi="Times"/>
                <w:szCs w:val="20"/>
                <w:lang w:val="en-GB" w:eastAsia="en-US"/>
              </w:rPr>
              <w:fldChar w:fldCharType="separate"/>
            </w:r>
            <w:r>
              <w:rPr>
                <w:rFonts w:ascii="Times" w:hAnsi="Times"/>
                <w:szCs w:val="20"/>
                <w:lang w:val="en-GB" w:eastAsia="en-US"/>
              </w:rPr>
              <w:pict>
                <v:shape id="_x0000_i1026" o:spt="75" type="#_x0000_t75" style="height:12pt;width:5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5EAA&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20B&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05EAA&quot; wsp:rsidRDefault=&quot;00205EAA&quot; wsp:rsidP=&quot;00205EAA&quot;&gt;&lt;m:oMathPara&gt;&lt;m:oMath&gt;&lt;m:d&gt;&lt;m:dPr&gt;&lt;m:begChr m:val=&quot;?&quot;/&gt;&lt;m:endChr m:val=&quot;?&quot;/&gt;&lt;m:ctrlPr&gt;&lt;w:rPr&gt;&lt;w:rFonts w:ascii=&quot;Cambria Math&quot; w:fareast=&quot;SimSun&quot; w:h-ansi=&quot;Cambria Math&quot;/&gt;&lt;wx:font wx:val=&quot;Cambria Math&quot;/&gt;&lt;w:i/&gt;&lt;w:sz-cs w:val=&quot;20&quot;/&gt;&lt;/w:rPr&gt;&lt;/m:ctrlPr&gt;&lt;/m:dPr&gt;&lt;m:e&gt;&lt;m:func&gt;&lt;m:funcPr&gt;&lt;m:ctrlPr&gt;&lt;w:rPr&gt;&lt;w:rFonts w:ascii=&quot;Cambria Math&quot; w:fareast=&quot;SimSun&quot; w:h-ansi=&quot;Cambria Math&quot;/&gt;&lt;wx:font wx:val=&quot;Cambria Math&quot;/&gt;&lt;w:i/&gt;&lt;w:sz-cs w:val=&quot;20&quot;/&gt;&lt;/w:rPr&gt;&lt;/m:ctrlPr&gt;&lt;/m:funcPr&gt;&lt;m:fName&gt;&lt;m:sSub&gt;&lt;m:sSubPr&gt;&lt;m:ctrlPr&gt;&lt;w:rPr&gt;&lt;w:rFonts w:ascii=&quot;Cambria Math&quot; w:fareast=&quot;SimSun&quot; w:h-ansi=&quot;Cambria Math&quot;/&gt;&lt;wx:font wx:val=&quot;Cambria Math&quot;/&gt;&lt;w:i/&gt;&lt;w:sz-cs w:val=&quot;20&quot;/&gt;&lt;/w:rPr&gt;&lt;/m:ctrlPr&gt;&lt;/m:sSubPr&gt;&lt;m:e&gt;&lt;m:r&gt;&lt;m:rPr&gt;&lt;m:sty m:val=&quot;p&quot;/&gt;&lt;/m:rPr&gt;&lt;w:rPr&gt;&lt;w:rFonts w:ascii=&quot;Cambria Math&quot; w:fareast=&quot;SimSun&quot; w:h-ansi=&quot;Cambria Math&quot;/&gt;&lt;wx:font wx:val=&quot;Cambria Math&quot;/&gt;&lt;w:sz-cs w:val=&quot;20&quot;/&gt;&lt;/w:rPr&gt;&lt;m:t&gt;log&lt;/m:t&gt;&lt;/m:r&gt;&lt;/m:e&gt;&lt;m:sub&gt;&lt;m:r&gt;&lt;w:rPr&gt;&lt;w:rFonts w:ascii=&quot;Cambria Math&quot; w:fareast=&quot;SimSun&quot; w:h-ansi=&quot;Cambria Math&quot;/&gt;&lt;wx:font wx:val=&quot;Cambria Math&quot;/&gt;&lt;w:i/&gt;&lt;w:sz-cs w:val=&quot;20&quot;/&gt;&lt;/w:rPr&gt;&lt;m:t&gt;2&lt;/m:t&gt;&lt;/m:r&gt;&lt;/m:sub&gt;&lt;/m:sSub&gt;&lt;/m:fName&gt;&lt;m:e&gt;&lt;m:d&gt;&lt;m:dPr&gt;&lt;m:ctrlPr&gt;&lt;w:rPr&gt;&lt;w:rFonts w:ascii=&quot;Cambria Math&quot; w:fareast=&quot;SimSun&quot; w:h-ansi=&quot;Cambria Math&quot;/&gt;&lt;wx:font wx:val=&quot;Cambria Math&quot;/&gt;&lt;w:i/&gt;&lt;w:sz-cs w:val=&quot;20&quot;/&gt;&lt;/w:rPr&gt;&lt;/m:ctrlPr&gt;&lt;/m:dPr&gt;&lt;m:e&gt;&lt;m:sSub&gt;&lt;m:sSubPr&gt;&lt;m:ctrlPr&gt;&lt;w:rPr&gt;&lt;w:rFonts w:ascii=&quot;Cambria Math&quot; w:fareast=&quot;SimSun&quot; w:h-ansi=&quot;Cambria Math&quot;/&gt;&lt;wx:font wx:val=&quot;Cambria Math&quot;/&gt;&lt;w:i/&gt;&lt;w:sz-cs w:val=&quot;20&quot;/&gt;&lt;/w:rPr&gt;&lt;/m:ctrlPr&gt;&lt;/m:sSubPr&gt;&lt;m:e&gt;&lt;m:r&gt;&lt;w:rPr&gt;&lt;w:rFonts w:ascii=&quot;Cambria Math&quot; w:fareast=&quot;SimSun&quot; w:h-ansi=&quot;Cambria Math&quot;/&gt;&lt;wx:font wx:val=&quot;Cambria Math&quot;/&gt;&lt;w:i/&gt;&lt;w:sz-cs w:val=&quot;20&quot;/&gt;&lt;/w:rPr&gt;&lt;m:t&gt;N&lt;/m:t&gt;&lt;/m:r&gt;&lt;/m:e&gt;&lt;m:sub&gt;&lt;m:r&gt;&lt;w:rPr&gt;&lt;w:rFonts w:ascii=&quot;Cambria Math&quot; w:fareast=&quot;SimSun&quot; w:h-ansi=&quot;Cambria Math&quot;/&gt;&lt;wx:font wx:val=&quot;Cambria Math&quot;/&gt;&lt;w:i/&gt;&lt;w:sz-cs w:val=&quot;20&quot;/&gt;&lt;/w:rPr&gt;&lt;m:t&gt;1&lt;/m:t&gt;&lt;/m:r&gt;&lt;/m:sub&gt;&lt;/m:sSub&gt;&lt;m:sSub&gt;&lt;m:sSubPr&gt;&lt;m:ctrlPr&gt;&lt;w:rPr&gt;&lt;w:rFonts w:ascii=&quot;Cambria Math&quot; w:fareast=&quot;SimSun&quot; w:h-ansi=&quot;Cambria Math&quot;/&gt;&lt;wx:font wx:val=&quot;Cambria Math&quot;/&gt;&lt;w:i/&gt;&lt;w:sz-cs w:val=&quot;20&quot;/&gt;&lt;/w:rPr&gt;&lt;/m:ctrlPr&gt;&lt;/m:sSubPr&gt;&lt;m:e&gt;&lt;m:r&gt;&lt;w:rPr&gt;&lt;w:rFonts w:ascii=&quot;Cambria Math&quot; w:fareast=&quot;SimSun&quot; w:h-ansi=&quot;Cambria Math&quot;/&gt;&lt;wx:font wx:val=&quot;Cambria Math&quot;/&gt;&lt;w:i/&gt;&lt;w:sz-cs w:val=&quot;20&quot;/&gt;&lt;/w:rPr&gt;&lt;m:t&gt;N&lt;/m:t&gt;&lt;/m:r&gt;&lt;/m:e&gt;&lt;m:sub&gt;&lt;m:r&gt;&lt;w:rPr&gt;&lt;w:rFonts w:ascii=&quot;Cambria Math&quot; w:fareast=&quot;SimSun&quot; w:h-ansi=&quot;Cambria Math&quot;/&gt;&lt;wx:font wx:val=&quot;Cambria Math&quot;/&gt;&lt;w:i/&gt;&lt;w:sz-cs w:val=&quot;20&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ascii="Times" w:hAnsi="Times"/>
                <w:szCs w:val="20"/>
                <w:lang w:val="en-GB" w:eastAsia="en-US"/>
              </w:rPr>
              <w:fldChar w:fldCharType="end"/>
            </w:r>
            <w:r>
              <w:rPr>
                <w:rFonts w:ascii="Times" w:hAnsi="Times"/>
                <w:szCs w:val="20"/>
                <w:lang w:val="en-GB" w:eastAsia="en-US"/>
              </w:rPr>
              <w:t xml:space="preserve"> bits for each layer</w:t>
            </w:r>
          </w:p>
          <w:p>
            <w:pPr>
              <w:numPr>
                <w:ilvl w:val="3"/>
                <w:numId w:val="11"/>
              </w:numPr>
              <w:snapToGrid w:val="0"/>
              <w:spacing w:after="0" w:line="240" w:lineRule="auto"/>
              <w:jc w:val="left"/>
              <w:rPr>
                <w:rFonts w:ascii="Times" w:hAnsi="Times"/>
                <w:szCs w:val="20"/>
                <w:lang w:val="en-GB" w:eastAsia="en-US"/>
              </w:rPr>
            </w:pPr>
            <w:r>
              <w:rPr>
                <w:rFonts w:ascii="Times" w:hAnsi="Times"/>
                <w:szCs w:val="20"/>
                <w:lang w:val="en-GB" w:eastAsia="en-US"/>
              </w:rPr>
              <w:t>Note: This implies that each of the SD basis vectors is selected from a group of N1N2 orthogonal basis vectors</w:t>
            </w:r>
          </w:p>
          <w:p>
            <w:pPr>
              <w:numPr>
                <w:ilvl w:val="1"/>
                <w:numId w:val="11"/>
              </w:numPr>
              <w:snapToGrid w:val="0"/>
              <w:spacing w:after="0" w:line="240" w:lineRule="auto"/>
              <w:jc w:val="left"/>
              <w:rPr>
                <w:lang w:val="en-GB" w:eastAsia="en-US"/>
              </w:rPr>
            </w:pPr>
            <w:r>
              <w:rPr>
                <w:rFonts w:ascii="Times" w:hAnsi="Times"/>
                <w:szCs w:val="20"/>
                <w:lang w:val="en-GB" w:eastAsia="en-US"/>
              </w:rPr>
              <w:t>W</w:t>
            </w:r>
            <w:r>
              <w:rPr>
                <w:rFonts w:ascii="Times" w:hAnsi="Times"/>
                <w:szCs w:val="20"/>
                <w:vertAlign w:val="subscript"/>
                <w:lang w:val="en-GB" w:eastAsia="en-US"/>
              </w:rPr>
              <w:t>2</w:t>
            </w:r>
            <w:r>
              <w:rPr>
                <w:rFonts w:ascii="Times" w:hAnsi="Times"/>
                <w:szCs w:val="20"/>
                <w:lang w:val="en-GB" w:eastAsia="en-US"/>
              </w:rPr>
              <w:t xml:space="preserve"> structure: Layer-specific inter-polarization co-phasing with the alphabet {+1, +j, -1, -j}</w:t>
            </w:r>
          </w:p>
        </w:tc>
      </w:tr>
    </w:tbl>
    <w:p>
      <w:r>
        <w:t>The above means that, in terms of Scheme-A, we have the exact the same codebook mechanism as Rel-15 Type-I codebook for P</w:t>
      </w:r>
      <w:r>
        <w:rPr>
          <w:vertAlign w:val="subscript"/>
        </w:rPr>
        <w:t>CSI-RS</w:t>
      </w:r>
      <w:r>
        <w:rPr>
          <w:rFonts w:hint="eastAsia"/>
        </w:rPr>
        <w:t>≤</w:t>
      </w:r>
      <w:r>
        <w:t xml:space="preserve">32, except for the case of ‘rank-3/4 and </w:t>
      </w:r>
      <w:r>
        <w:rPr>
          <w:rFonts w:hint="eastAsia"/>
        </w:rPr>
        <w:t>P</w:t>
      </w:r>
      <w:r>
        <w:rPr>
          <w:rFonts w:hint="eastAsia"/>
          <w:vertAlign w:val="subscript"/>
        </w:rPr>
        <w:t>CSI-RS</w:t>
      </w:r>
      <w:r>
        <w:rPr>
          <w:rFonts w:hint="eastAsia"/>
        </w:rPr>
        <w:t>≥16</w:t>
      </w:r>
      <w:r>
        <w:t>’.</w:t>
      </w:r>
    </w:p>
    <w:p>
      <w:pPr>
        <w:pStyle w:val="112"/>
        <w:numPr>
          <w:ilvl w:val="0"/>
          <w:numId w:val="12"/>
        </w:numPr>
        <w:ind w:firstLineChars="0"/>
      </w:pPr>
      <w:r>
        <w:t>To be more specific, Rel-15</w:t>
      </w:r>
      <w:r>
        <w:rPr>
          <w:rFonts w:hint="eastAsia"/>
        </w:rPr>
        <w:t xml:space="preserve"> Type-I codebook with </w:t>
      </w:r>
      <w:r>
        <w:rPr>
          <w:rFonts w:eastAsia="Batang"/>
          <w:iCs/>
          <w:szCs w:val="20"/>
          <w:lang w:val="en-GB" w:eastAsia="en-US"/>
        </w:rPr>
        <w:t>rank-3/4</w:t>
      </w:r>
      <w:r>
        <w:rPr>
          <w:rFonts w:hint="eastAsia"/>
        </w:rPr>
        <w:t xml:space="preserve"> has two </w:t>
      </w:r>
      <w:r>
        <w:t xml:space="preserve">respective </w:t>
      </w:r>
      <w:r>
        <w:rPr>
          <w:rFonts w:hint="eastAsia"/>
        </w:rPr>
        <w:t xml:space="preserve">modes </w:t>
      </w:r>
      <w:r>
        <w:t>for</w:t>
      </w:r>
      <w:r>
        <w:rPr>
          <w:rFonts w:hint="eastAsia"/>
        </w:rPr>
        <w:t xml:space="preserve"> P</w:t>
      </w:r>
      <w:r>
        <w:rPr>
          <w:vertAlign w:val="subscript"/>
        </w:rPr>
        <w:t>CSI-RS</w:t>
      </w:r>
      <w:r>
        <w:rPr>
          <w:rFonts w:hint="eastAsia"/>
        </w:rPr>
        <w:t>&lt;16 and P</w:t>
      </w:r>
      <w:r>
        <w:rPr>
          <w:vertAlign w:val="subscript"/>
        </w:rPr>
        <w:t>CSI-RS</w:t>
      </w:r>
      <w:r>
        <w:rPr>
          <w:rFonts w:hint="eastAsia"/>
        </w:rPr>
        <w:t xml:space="preserve">≥16. </w:t>
      </w:r>
      <w:r>
        <w:t xml:space="preserve">Then, for Rel-19 enhanced </w:t>
      </w:r>
      <w:r>
        <w:rPr>
          <w:rFonts w:eastAsia="Times New Roman"/>
          <w:szCs w:val="24"/>
          <w:lang w:eastAsia="en-US"/>
        </w:rPr>
        <w:t>Type-I codebook refinement supporting up to a total of 128 CSI-RS ports</w:t>
      </w:r>
      <w:r>
        <w:rPr>
          <w:rFonts w:hint="eastAsia"/>
        </w:rPr>
        <w:t xml:space="preserve">, the </w:t>
      </w:r>
      <w:r>
        <w:rPr>
          <w:rFonts w:eastAsia="Batang"/>
          <w:iCs/>
          <w:szCs w:val="20"/>
          <w:lang w:val="en-GB" w:eastAsia="en-US"/>
        </w:rPr>
        <w:t>legacy mechanism for &lt;16 ports</w:t>
      </w:r>
      <w:r>
        <w:rPr>
          <w:rFonts w:hint="eastAsia"/>
        </w:rPr>
        <w:t xml:space="preserve"> has been reused to R</w:t>
      </w:r>
      <w:r>
        <w:t>el-</w:t>
      </w:r>
      <w:r>
        <w:rPr>
          <w:rFonts w:hint="eastAsia"/>
        </w:rPr>
        <w:t>19 Type-I</w:t>
      </w:r>
      <w:r>
        <w:t xml:space="preserve"> </w:t>
      </w:r>
      <w:r>
        <w:rPr>
          <w:rFonts w:hint="eastAsia"/>
        </w:rPr>
        <w:t xml:space="preserve">(Scheme-A) codebook </w:t>
      </w:r>
      <w:r>
        <w:rPr>
          <w:szCs w:val="24"/>
        </w:rPr>
        <w:t xml:space="preserve">for </w:t>
      </w:r>
      <w:r>
        <w:rPr>
          <w:rFonts w:eastAsia="Batang"/>
          <w:iCs/>
          <w:szCs w:val="20"/>
          <w:lang w:val="en-GB" w:eastAsia="en-US"/>
        </w:rPr>
        <w:t>rank-3/4</w:t>
      </w:r>
      <w:r>
        <w:rPr>
          <w:rFonts w:hint="eastAsia"/>
        </w:rPr>
        <w:t xml:space="preserve"> for P</w:t>
      </w:r>
      <w:r>
        <w:rPr>
          <w:vertAlign w:val="subscript"/>
        </w:rPr>
        <w:t>CSI-RS</w:t>
      </w:r>
      <w:r>
        <w:rPr>
          <w:rFonts w:hint="eastAsia"/>
        </w:rPr>
        <w:t xml:space="preserve">&gt;32, </w:t>
      </w:r>
      <w:r>
        <w:t xml:space="preserve">considering that the </w:t>
      </w:r>
      <w:r>
        <w:rPr>
          <w:rFonts w:hint="eastAsia"/>
        </w:rPr>
        <w:t xml:space="preserve">non-uniformity </w:t>
      </w:r>
      <w:r>
        <w:t xml:space="preserve">design for </w:t>
      </w:r>
      <w:r>
        <w:rPr>
          <w:rFonts w:hint="eastAsia"/>
        </w:rPr>
        <w:t>R19 Type-I codebook design</w:t>
      </w:r>
      <w:r>
        <w:t xml:space="preserve"> as in Rel-15 may </w:t>
      </w:r>
      <w:r>
        <w:rPr>
          <w:rFonts w:hint="eastAsia"/>
        </w:rPr>
        <w:t>escalates the complexity of its implementation.</w:t>
      </w:r>
    </w:p>
    <w:p>
      <w:r>
        <w:t>To unify the structure of the R19 type-I codebook</w:t>
      </w:r>
      <w:r>
        <w:rPr>
          <w:rFonts w:hint="eastAsia"/>
        </w:rPr>
        <w:t xml:space="preserve"> for </w:t>
      </w:r>
      <w:r>
        <w:rPr>
          <w:rFonts w:eastAsia="Batang"/>
          <w:iCs/>
          <w:szCs w:val="20"/>
          <w:lang w:val="en-GB" w:eastAsia="en-US"/>
        </w:rPr>
        <w:t>rank-3/4</w:t>
      </w:r>
      <w:r>
        <w:t xml:space="preserve">, we propose that the </w:t>
      </w:r>
      <w:r>
        <w:rPr>
          <w:rFonts w:hint="eastAsia"/>
        </w:rPr>
        <w:t xml:space="preserve">R19 Type-I(Scheme-A) codebook for </w:t>
      </w:r>
      <w:r>
        <w:rPr>
          <w:rFonts w:hint="eastAsia"/>
          <w:iCs/>
          <w:szCs w:val="20"/>
        </w:rPr>
        <w:t>RI=1~4</w:t>
      </w:r>
      <w:r>
        <w:t xml:space="preserve"> also be applicable for 4</w:t>
      </w:r>
      <w:r>
        <w:rPr>
          <w:rFonts w:hint="eastAsia"/>
        </w:rPr>
        <w:t>≤</w:t>
      </w:r>
      <w:r>
        <w:t>P</w:t>
      </w:r>
      <w:r>
        <w:rPr>
          <w:vertAlign w:val="subscript"/>
        </w:rPr>
        <w:t>CSI-RS</w:t>
      </w:r>
      <w:r>
        <w:rPr>
          <w:rFonts w:hint="eastAsia"/>
        </w:rPr>
        <w:t>≤</w:t>
      </w:r>
      <w:r>
        <w:t>32. To ensure compatibility with existing specifications, an RRC</w:t>
      </w:r>
      <w:r>
        <w:rPr>
          <w:rFonts w:hint="eastAsia"/>
        </w:rPr>
        <w:t xml:space="preserve"> </w:t>
      </w:r>
      <w:r>
        <w:t xml:space="preserve">parameter can be considered to indicate whether the unified codebook should be adopted, if being on the top of legacy spec. As an example, focusing on the </w:t>
      </w:r>
      <w:r>
        <w:rPr>
          <w:rFonts w:hint="eastAsia"/>
        </w:rPr>
        <w:t>RI</w:t>
      </w:r>
      <w:r>
        <w:t xml:space="preserve">=3 type-I codebook (with similar implications for the </w:t>
      </w:r>
      <w:r>
        <w:rPr>
          <w:rFonts w:hint="eastAsia"/>
        </w:rPr>
        <w:t>RI</w:t>
      </w:r>
      <w:r>
        <w:t>=4 counterpart), the caption of Table 5.2.2.2.1-7 in TS 38.214 would require minimal modifications as highlighted in Table</w:t>
      </w:r>
      <w:r>
        <w:rPr>
          <w:rFonts w:hint="eastAsia"/>
          <w:lang w:val="en-US" w:eastAsia="zh-CN"/>
        </w:rPr>
        <w:t xml:space="preserve"> </w:t>
      </w:r>
      <w:r>
        <w:t>1.</w:t>
      </w:r>
    </w:p>
    <w:p>
      <w:pPr>
        <w:pStyle w:val="112"/>
        <w:tabs>
          <w:tab w:val="left" w:pos="420"/>
        </w:tabs>
        <w:snapToGrid w:val="0"/>
        <w:spacing w:beforeLines="50" w:afterLines="50" w:line="300" w:lineRule="auto"/>
        <w:ind w:left="400" w:firstLine="0" w:firstLineChars="0"/>
        <w:jc w:val="center"/>
      </w:pPr>
      <w:r>
        <w:rPr>
          <w:rFonts w:hint="eastAsia" w:eastAsia="微软雅黑"/>
          <w:b/>
          <w:iCs/>
          <w:szCs w:val="20"/>
        </w:rPr>
        <w:t>T</w:t>
      </w:r>
      <w:r>
        <w:rPr>
          <w:rFonts w:eastAsia="微软雅黑"/>
          <w:b/>
          <w:iCs/>
          <w:szCs w:val="20"/>
        </w:rPr>
        <w:t xml:space="preserve">able </w:t>
      </w:r>
      <w:r>
        <w:rPr>
          <w:rFonts w:hint="eastAsia" w:eastAsia="微软雅黑"/>
          <w:b/>
          <w:iCs/>
          <w:szCs w:val="20"/>
        </w:rPr>
        <w:t>1</w:t>
      </w:r>
      <w:r>
        <w:rPr>
          <w:rFonts w:eastAsia="微软雅黑"/>
          <w:bCs/>
          <w:iCs/>
          <w:szCs w:val="20"/>
        </w:rPr>
        <w:t xml:space="preserve"> Example for correction on </w:t>
      </w:r>
      <w:r>
        <w:t>Table 5.2.2.2.1-7 in TS 38.214 to enable R19 Rel-19 Type-I SP codebook refinement for the case of P</w:t>
      </w:r>
      <w:r>
        <w:rPr>
          <w:vertAlign w:val="subscript"/>
        </w:rPr>
        <w:t>CSI-RS</w:t>
      </w:r>
      <w:r>
        <w:rPr>
          <w:rFonts w:hint="eastAsia"/>
        </w:rPr>
        <w:t>≤</w:t>
      </w:r>
      <w:r>
        <w:t xml:space="preserve">32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620"/>
        <w:gridCol w:w="544"/>
        <w:gridCol w:w="2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6550" w:type="dxa"/>
            <w:gridSpan w:val="4"/>
            <w:shd w:val="clear" w:color="auto" w:fill="E0E0E0"/>
            <w:vAlign w:val="center"/>
          </w:tcPr>
          <w:p>
            <w:pPr>
              <w:keepNext/>
              <w:keepLines/>
              <w:spacing w:after="0"/>
              <w:jc w:val="center"/>
              <w:textAlignment w:val="center"/>
              <w:rPr>
                <w:rFonts w:ascii="Arial" w:hAnsi="Arial" w:cs="Arial"/>
                <w:b/>
                <w:color w:val="000000"/>
                <w:sz w:val="18"/>
              </w:rPr>
            </w:pPr>
            <w:r>
              <w:rPr>
                <w:rFonts w:ascii="Arial" w:hAnsi="Arial" w:cs="Arial"/>
                <w:b/>
                <w:i/>
                <w:color w:val="000000"/>
                <w:sz w:val="18"/>
                <w:lang w:val="en-GB" w:eastAsia="en-US"/>
              </w:rPr>
              <w:t xml:space="preserve">codebookMode = </w:t>
            </w:r>
            <w:r>
              <w:rPr>
                <w:rFonts w:ascii="Arial" w:hAnsi="Arial" w:cs="Arial"/>
                <w:b/>
                <w:color w:val="000000"/>
                <w:sz w:val="18"/>
                <w:lang w:val="en-GB" w:eastAsia="en-US"/>
              </w:rPr>
              <w:t xml:space="preserve">1-2, </w:t>
            </w:r>
            <m:oMath>
              <m:sSub>
                <m:sSubPr>
                  <m:ctrlPr>
                    <w:rPr>
                      <w:rFonts w:ascii="Cambria Math" w:hAnsi="Cambria Math" w:cs="Arial"/>
                      <w:i/>
                      <w:color w:val="000000"/>
                      <w:sz w:val="18"/>
                      <w:lang w:val="en-GB"/>
                    </w:rPr>
                  </m:ctrlPr>
                </m:sSubPr>
                <m:e>
                  <m:r>
                    <m:rPr/>
                    <w:rPr>
                      <w:rFonts w:ascii="Cambria Math" w:hAnsi="Cambria Math" w:cs="Arial"/>
                      <w:color w:val="000000"/>
                      <w:sz w:val="18"/>
                    </w:rPr>
                    <m:t>P</m:t>
                  </m:r>
                  <m:ctrlPr>
                    <w:rPr>
                      <w:rFonts w:ascii="Cambria Math" w:hAnsi="Cambria Math" w:cs="Arial"/>
                      <w:i/>
                      <w:color w:val="000000"/>
                      <w:sz w:val="18"/>
                      <w:lang w:val="en-GB"/>
                    </w:rPr>
                  </m:ctrlPr>
                </m:e>
                <m:sub>
                  <m:r>
                    <m:rPr>
                      <m:sty m:val="p"/>
                    </m:rPr>
                    <w:rPr>
                      <w:rFonts w:ascii="Cambria Math" w:hAnsi="Cambria Math" w:cs="Arial"/>
                      <w:color w:val="000000"/>
                      <w:sz w:val="18"/>
                    </w:rPr>
                    <m:t>CSI−RS</m:t>
                  </m:r>
                  <m:ctrlPr>
                    <w:rPr>
                      <w:rFonts w:ascii="Cambria Math" w:hAnsi="Cambria Math" w:cs="Arial"/>
                      <w:i/>
                      <w:color w:val="000000"/>
                      <w:sz w:val="18"/>
                      <w:lang w:val="en-GB"/>
                    </w:rPr>
                  </m:ctrlPr>
                </m:sub>
              </m:sSub>
              <m:r>
                <m:rPr/>
                <w:rPr>
                  <w:rFonts w:ascii="Cambria Math" w:hAnsi="Cambria Math" w:cs="Arial"/>
                  <w:color w:val="000000"/>
                  <w:sz w:val="18"/>
                </w:rPr>
                <m:t>&lt;16</m:t>
              </m:r>
            </m:oMath>
            <w:r>
              <w:rPr>
                <w:rFonts w:ascii="Arial" w:hAnsi="Arial" w:cs="Arial"/>
                <w:color w:val="000000"/>
                <w:sz w:val="18"/>
              </w:rPr>
              <w:t>,</w:t>
            </w:r>
            <w:r>
              <w:rPr>
                <w:rFonts w:hint="eastAsia" w:hAnsi="Cambria Math" w:cs="Arial"/>
                <w:color w:val="000000"/>
                <w:sz w:val="18"/>
              </w:rPr>
              <w:t xml:space="preserve"> </w:t>
            </w:r>
            <w:r>
              <w:rPr>
                <w:rFonts w:hint="eastAsia" w:hAnsi="Cambria Math" w:cs="Arial"/>
                <w:sz w:val="18"/>
                <w:highlight w:val="yellow"/>
              </w:rPr>
              <w:t xml:space="preserve">or </w:t>
            </w:r>
            <w:r>
              <w:rPr>
                <w:rFonts w:hAnsi="Cambria Math" w:cs="Arial"/>
                <w:i/>
                <w:sz w:val="18"/>
                <w:highlight w:val="yellow"/>
              </w:rPr>
              <w:t>typeI-codebookMode-r19</w:t>
            </w:r>
            <w:r>
              <w:rPr>
                <w:rFonts w:hint="eastAsia" w:hAnsi="Cambria Math" w:cs="Arial"/>
                <w:sz w:val="18"/>
                <w:highlight w:val="yellow"/>
              </w:rPr>
              <w:t xml:space="preserve"> </w:t>
            </w:r>
            <w:r>
              <w:rPr>
                <w:rFonts w:hAnsi="Cambria Math" w:cs="Arial"/>
                <w:sz w:val="18"/>
                <w:highlight w:val="yellow"/>
              </w:rPr>
              <w:t xml:space="preserve">= </w:t>
            </w:r>
            <w:r>
              <w:rPr>
                <w:rFonts w:hAnsi="Cambria Math" w:cs="Arial"/>
                <w:i/>
                <w:sz w:val="18"/>
                <w:highlight w:val="yellow"/>
              </w:rPr>
              <w:t>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0" w:type="auto"/>
            <w:shd w:val="clear" w:color="auto" w:fill="E0E0E0"/>
            <w:vAlign w:val="center"/>
          </w:tcPr>
          <w:p>
            <w:pPr>
              <w:keepLines/>
              <w:spacing w:before="0" w:after="0"/>
              <w:jc w:val="center"/>
              <w:rPr>
                <w:rFonts w:ascii="Arial" w:hAnsi="Arial"/>
                <w:color w:val="000000"/>
                <w:lang w:eastAsia="en-US"/>
              </w:rPr>
            </w:pPr>
            <w:r>
              <w:rPr>
                <w:rFonts w:ascii="Arial" w:hAnsi="Arial" w:cs="Arial"/>
                <w:color w:val="000000"/>
                <w:position w:val="-12"/>
                <w:lang w:val="en-GB" w:eastAsia="en-US"/>
              </w:rPr>
              <w:object>
                <v:shape id="_x0000_i1027" o:spt="75" type="#_x0000_t75" style="height:14.5pt;width:14.5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5" r:id="rId7">
                  <o:LockedField>false</o:LockedField>
                </o:OLEObject>
              </w:object>
            </w:r>
          </w:p>
        </w:tc>
        <w:tc>
          <w:tcPr>
            <w:tcW w:w="0" w:type="auto"/>
            <w:shd w:val="clear" w:color="auto" w:fill="E0E0E0"/>
            <w:vAlign w:val="center"/>
          </w:tcPr>
          <w:p>
            <w:pPr>
              <w:keepLines/>
              <w:spacing w:before="0" w:after="0"/>
              <w:jc w:val="center"/>
              <w:rPr>
                <w:rFonts w:ascii="Arial" w:hAnsi="Arial"/>
                <w:color w:val="000000"/>
                <w:lang w:eastAsia="en-US"/>
              </w:rPr>
            </w:pPr>
            <w:r>
              <w:rPr>
                <w:rFonts w:ascii="Arial" w:hAnsi="Arial" w:cs="Arial"/>
                <w:color w:val="000000"/>
                <w:position w:val="-12"/>
                <w:lang w:val="en-GB"/>
              </w:rPr>
              <w:object>
                <v:shape id="_x0000_i1028" o:spt="75" type="#_x0000_t75" style="height:14.5pt;width:14.5pt;" o:ole="t" filled="f" o:preferrelative="t" stroked="f" coordsize="21600,21600">
                  <v:path/>
                  <v:fill on="f" focussize="0,0"/>
                  <v:stroke on="f" joinstyle="miter"/>
                  <v:imagedata r:id="rId10" o:title=""/>
                  <o:lock v:ext="edit" aspectratio="t"/>
                  <w10:wrap type="none"/>
                  <w10:anchorlock/>
                </v:shape>
                <o:OLEObject Type="Embed" ProgID="Equation.DSMT4" ShapeID="_x0000_i1028" DrawAspect="Content" ObjectID="_1468075726" r:id="rId9">
                  <o:LockedField>false</o:LockedField>
                </o:OLEObject>
              </w:object>
            </w:r>
          </w:p>
        </w:tc>
        <w:tc>
          <w:tcPr>
            <w:tcW w:w="0" w:type="auto"/>
            <w:shd w:val="clear" w:color="auto" w:fill="E0E0E0"/>
            <w:vAlign w:val="center"/>
          </w:tcPr>
          <w:p>
            <w:pPr>
              <w:keepLines/>
              <w:spacing w:before="0" w:after="0"/>
              <w:jc w:val="center"/>
              <w:rPr>
                <w:rFonts w:ascii="Arial" w:hAnsi="Arial"/>
                <w:color w:val="000000"/>
                <w:lang w:eastAsia="en-US"/>
              </w:rPr>
            </w:pPr>
            <w:r>
              <w:rPr>
                <w:rFonts w:ascii="Arial" w:hAnsi="Arial" w:cs="Arial"/>
                <w:color w:val="000000"/>
                <w:position w:val="-10"/>
                <w:lang w:val="en-GB" w:eastAsia="en-US"/>
              </w:rPr>
              <w:object>
                <v:shape id="_x0000_i1029" o:spt="75" type="#_x0000_t75" style="height:14.5pt;width:7.5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7" r:id="rId11">
                  <o:LockedField>false</o:LockedField>
                </o:OLEObject>
              </w:object>
            </w:r>
          </w:p>
        </w:tc>
        <w:tc>
          <w:tcPr>
            <w:tcW w:w="2702" w:type="dxa"/>
            <w:shd w:val="clear" w:color="auto" w:fill="E0E0E0"/>
            <w:vAlign w:val="center"/>
          </w:tcPr>
          <w:p>
            <w:pPr>
              <w:keepLines/>
              <w:spacing w:before="0" w:after="0"/>
              <w:jc w:val="center"/>
              <w:rPr>
                <w:rFonts w:ascii="Arial" w:hAnsi="Arial"/>
                <w:color w:val="00000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0" w:type="auto"/>
            <w:shd w:val="clear" w:color="auto" w:fill="auto"/>
            <w:vAlign w:val="center"/>
          </w:tcPr>
          <w:p>
            <w:pPr>
              <w:keepLines/>
              <w:spacing w:before="0" w:after="0"/>
              <w:jc w:val="center"/>
              <w:rPr>
                <w:rFonts w:ascii="Arial" w:hAnsi="Arial"/>
                <w:color w:val="000000"/>
                <w:lang w:eastAsia="en-US"/>
              </w:rPr>
            </w:pPr>
            <w:r>
              <w:rPr>
                <w:rFonts w:ascii="Arial" w:hAnsi="Arial"/>
                <w:color w:val="000000"/>
                <w:position w:val="-10"/>
                <w:lang w:val="en-GB" w:eastAsia="en-US"/>
              </w:rPr>
              <w:object>
                <v:shape id="_x0000_i1030" o:spt="75" type="#_x0000_t75" style="height:14.5pt;width:58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28" r:id="rId13">
                  <o:LockedField>false</o:LockedField>
                </o:OLEObject>
              </w:object>
            </w:r>
          </w:p>
        </w:tc>
        <w:tc>
          <w:tcPr>
            <w:tcW w:w="0" w:type="auto"/>
            <w:shd w:val="clear" w:color="auto" w:fill="auto"/>
            <w:vAlign w:val="center"/>
          </w:tcPr>
          <w:p>
            <w:pPr>
              <w:keepLines/>
              <w:spacing w:before="0" w:after="0"/>
              <w:jc w:val="center"/>
              <w:rPr>
                <w:rFonts w:ascii="Arial" w:hAnsi="Arial"/>
                <w:color w:val="000000"/>
                <w:lang w:eastAsia="en-US"/>
              </w:rPr>
            </w:pPr>
            <w:r>
              <w:rPr>
                <w:rFonts w:ascii="Arial" w:hAnsi="Arial" w:cs="Arial"/>
                <w:color w:val="000000"/>
                <w:position w:val="-10"/>
                <w:lang w:val="en-GB"/>
              </w:rPr>
              <w:object>
                <v:shape id="_x0000_i1031" o:spt="75" type="#_x0000_t75" style="height:14.5pt;width:64.5pt;" o:ole="t" filled="f" o:preferrelative="t" stroked="f" coordsize="21600,21600">
                  <v:path/>
                  <v:fill on="f" focussize="0,0"/>
                  <v:stroke on="f" joinstyle="miter"/>
                  <v:imagedata r:id="rId16" o:title=""/>
                  <o:lock v:ext="edit" aspectratio="t"/>
                  <w10:wrap type="none"/>
                  <w10:anchorlock/>
                </v:shape>
                <o:OLEObject Type="Embed" ProgID="Equation.DSMT4" ShapeID="_x0000_i1031" DrawAspect="Content" ObjectID="_1468075729" r:id="rId15">
                  <o:LockedField>false</o:LockedField>
                </o:OLEObject>
              </w:object>
            </w:r>
          </w:p>
        </w:tc>
        <w:tc>
          <w:tcPr>
            <w:tcW w:w="0" w:type="auto"/>
            <w:shd w:val="clear" w:color="auto" w:fill="auto"/>
            <w:vAlign w:val="center"/>
          </w:tcPr>
          <w:p>
            <w:pPr>
              <w:keepLines/>
              <w:spacing w:before="0" w:after="0"/>
              <w:jc w:val="center"/>
              <w:rPr>
                <w:rFonts w:ascii="Arial" w:hAnsi="Arial"/>
                <w:color w:val="000000"/>
                <w:lang w:eastAsia="en-US"/>
              </w:rPr>
            </w:pPr>
            <w:r>
              <w:rPr>
                <w:rFonts w:ascii="Arial" w:hAnsi="Arial" w:cs="Arial"/>
                <w:color w:val="000000"/>
                <w:position w:val="-8"/>
                <w:lang w:val="en-GB"/>
              </w:rPr>
              <w:object>
                <v:shape id="_x0000_i1032" o:spt="75" type="#_x0000_t75" style="height:14.5pt;width:14.5pt;" o:ole="t" filled="f" o:preferrelative="t" stroked="f" coordsize="21600,21600">
                  <v:path/>
                  <v:fill on="f" focussize="0,0"/>
                  <v:stroke on="f" joinstyle="miter"/>
                  <v:imagedata r:id="rId18" o:title=""/>
                  <o:lock v:ext="edit" aspectratio="t"/>
                  <w10:wrap type="none"/>
                  <w10:anchorlock/>
                </v:shape>
                <o:OLEObject Type="Embed" ProgID="Equation.DSMT4" ShapeID="_x0000_i1032" DrawAspect="Content" ObjectID="_1468075730" r:id="rId17">
                  <o:LockedField>false</o:LockedField>
                </o:OLEObject>
              </w:object>
            </w:r>
          </w:p>
        </w:tc>
        <w:tc>
          <w:tcPr>
            <w:tcW w:w="2702" w:type="dxa"/>
            <w:shd w:val="clear" w:color="auto" w:fill="auto"/>
            <w:vAlign w:val="center"/>
          </w:tcPr>
          <w:p>
            <w:pPr>
              <w:keepLines/>
              <w:spacing w:before="0" w:after="0"/>
              <w:jc w:val="center"/>
              <w:rPr>
                <w:rFonts w:ascii="Arial" w:hAnsi="Arial"/>
                <w:color w:val="000000"/>
                <w:lang w:eastAsia="en-US"/>
              </w:rPr>
            </w:pPr>
            <w:r>
              <w:rPr>
                <w:rFonts w:ascii="Arial" w:hAnsi="Arial"/>
                <w:color w:val="000000"/>
                <w:position w:val="-16"/>
                <w:lang w:val="en-GB" w:eastAsia="en-US"/>
              </w:rPr>
              <w:object>
                <v:shape id="_x0000_i1033" o:spt="75" type="#_x0000_t75" style="height:21.5pt;width:72pt;" o:ole="t" filled="f" o:preferrelative="t" stroked="f" coordsize="21600,21600">
                  <v:path/>
                  <v:fill on="f" focussize="0,0"/>
                  <v:stroke on="f" joinstyle="miter"/>
                  <v:imagedata r:id="rId20" o:title=""/>
                  <o:lock v:ext="edit" aspectratio="t"/>
                  <w10:wrap type="none"/>
                  <w10:anchorlock/>
                </v:shape>
                <o:OLEObject Type="Embed" ProgID="Equation.DSMT4" ShapeID="_x0000_i1033" DrawAspect="Content" ObjectID="_1468075731" r:id="rId1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6550" w:type="dxa"/>
            <w:gridSpan w:val="4"/>
            <w:shd w:val="clear" w:color="auto" w:fill="auto"/>
            <w:vAlign w:val="center"/>
          </w:tcPr>
          <w:p>
            <w:pPr>
              <w:keepLines/>
              <w:spacing w:before="0" w:after="0"/>
              <w:jc w:val="center"/>
              <w:rPr>
                <w:rFonts w:ascii="Arial" w:hAnsi="Arial"/>
                <w:color w:val="000000"/>
                <w:lang w:val="en-GB" w:eastAsia="en-US"/>
              </w:rPr>
            </w:pPr>
            <w:r>
              <w:rPr>
                <w:color w:val="000000"/>
                <w:lang w:val="en-GB" w:eastAsia="en-US"/>
              </w:rPr>
              <w:t xml:space="preserve">where </w:t>
            </w:r>
            <w:r>
              <w:rPr>
                <w:rFonts w:ascii="Arial" w:hAnsi="Arial"/>
                <w:color w:val="000000"/>
                <w:position w:val="-30"/>
                <w:lang w:val="en-GB" w:eastAsia="en-US"/>
              </w:rPr>
              <w:object>
                <v:shape id="_x0000_i1034" o:spt="75" type="#_x0000_t75" style="height:36.5pt;width:202pt;" o:ole="t" filled="f" o:preferrelative="t" stroked="f" coordsize="21600,21600">
                  <v:path/>
                  <v:fill on="f" focussize="0,0"/>
                  <v:stroke on="f" joinstyle="miter"/>
                  <v:imagedata r:id="rId22" o:title=""/>
                  <o:lock v:ext="edit" aspectratio="t"/>
                  <w10:wrap type="none"/>
                  <w10:anchorlock/>
                </v:shape>
                <o:OLEObject Type="Embed" ProgID="Equation.DSMT4" ShapeID="_x0000_i1034" DrawAspect="Content" ObjectID="_1468075732" r:id="rId21">
                  <o:LockedField>false</o:LockedField>
                </o:OLEObject>
              </w:object>
            </w:r>
            <w:r>
              <w:rPr>
                <w:rFonts w:ascii="Arial" w:hAnsi="Arial"/>
                <w:color w:val="000000"/>
                <w:lang w:val="en-GB" w:eastAsia="en-US"/>
              </w:rPr>
              <w:t>.</w:t>
            </w:r>
          </w:p>
          <w:p>
            <w:pPr>
              <w:keepLines/>
              <w:spacing w:before="0" w:after="0"/>
              <w:jc w:val="center"/>
              <w:rPr>
                <w:rFonts w:ascii="Arial" w:hAnsi="Arial"/>
                <w:color w:val="000000"/>
                <w:lang w:eastAsia="en-US"/>
              </w:rPr>
            </w:pPr>
            <w:r>
              <w:rPr>
                <w:color w:val="000000"/>
                <w:lang w:val="en-GB" w:eastAsia="en-US"/>
              </w:rPr>
              <w:t xml:space="preserve">and the mapping from </w:t>
            </w:r>
            <w:r>
              <w:rPr>
                <w:color w:val="000000"/>
                <w:position w:val="-12"/>
                <w:lang w:val="en-GB" w:eastAsia="en-US"/>
              </w:rPr>
              <w:object>
                <v:shape id="_x0000_i1035" o:spt="75" type="#_x0000_t75" style="height:14.5pt;width:14.5pt;" o:ole="t" filled="f" o:preferrelative="t" stroked="f" coordsize="21600,21600">
                  <v:path/>
                  <v:fill on="f" focussize="0,0"/>
                  <v:stroke on="f" joinstyle="miter"/>
                  <v:imagedata r:id="rId24" o:title=""/>
                  <o:lock v:ext="edit" aspectratio="t"/>
                  <w10:wrap type="none"/>
                  <w10:anchorlock/>
                </v:shape>
                <o:OLEObject Type="Embed" ProgID="Equation.DSMT4" ShapeID="_x0000_i1035" DrawAspect="Content" ObjectID="_1468075733" r:id="rId23">
                  <o:LockedField>false</o:LockedField>
                </o:OLEObject>
              </w:object>
            </w:r>
            <w:r>
              <w:rPr>
                <w:color w:val="000000"/>
                <w:lang w:val="en-GB" w:eastAsia="en-US"/>
              </w:rPr>
              <w:t xml:space="preserve"> to </w:t>
            </w:r>
            <w:r>
              <w:rPr>
                <w:color w:val="000000"/>
                <w:position w:val="-10"/>
                <w:lang w:val="en-GB" w:eastAsia="en-US"/>
              </w:rPr>
              <w:object>
                <v:shape id="_x0000_i1036" o:spt="75" type="#_x0000_t75" style="height:14.5pt;width:14.5pt;" o:ole="t" filled="f" o:preferrelative="t" stroked="f" coordsize="21600,21600">
                  <v:path/>
                  <v:fill on="f" focussize="0,0"/>
                  <v:stroke on="f" joinstyle="miter"/>
                  <v:imagedata r:id="rId26" o:title=""/>
                  <o:lock v:ext="edit" aspectratio="t"/>
                  <w10:wrap type="none"/>
                  <w10:anchorlock/>
                </v:shape>
                <o:OLEObject Type="Embed" ProgID="Equation.DSMT4" ShapeID="_x0000_i1036" DrawAspect="Content" ObjectID="_1468075734" r:id="rId25">
                  <o:LockedField>false</o:LockedField>
                </o:OLEObject>
              </w:object>
            </w:r>
            <w:r>
              <w:rPr>
                <w:color w:val="000000"/>
                <w:lang w:val="en-GB" w:eastAsia="en-US"/>
              </w:rPr>
              <w:t xml:space="preserve"> and </w:t>
            </w:r>
            <w:r>
              <w:rPr>
                <w:color w:val="000000"/>
                <w:position w:val="-10"/>
                <w:lang w:val="en-GB" w:eastAsia="en-US"/>
              </w:rPr>
              <w:object>
                <v:shape id="_x0000_i1037" o:spt="75" type="#_x0000_t75" style="height:14.5pt;width:14.5pt;" o:ole="t" filled="f" o:preferrelative="t" stroked="f" coordsize="21600,21600">
                  <v:path/>
                  <v:fill on="f" focussize="0,0"/>
                  <v:stroke on="f" joinstyle="miter"/>
                  <v:imagedata r:id="rId28" o:title=""/>
                  <o:lock v:ext="edit" aspectratio="t"/>
                  <w10:wrap type="none"/>
                  <w10:anchorlock/>
                </v:shape>
                <o:OLEObject Type="Embed" ProgID="Equation.DSMT4" ShapeID="_x0000_i1037" DrawAspect="Content" ObjectID="_1468075735" r:id="rId27">
                  <o:LockedField>false</o:LockedField>
                </o:OLEObject>
              </w:object>
            </w:r>
            <w:r>
              <w:rPr>
                <w:color w:val="000000"/>
                <w:lang w:val="en-GB" w:eastAsia="en-US"/>
              </w:rPr>
              <w:t xml:space="preserve"> is given in Table 5.2.2.2.1-4</w:t>
            </w:r>
            <w:r>
              <w:rPr>
                <w:rFonts w:ascii="Arial" w:hAnsi="Arial"/>
                <w:color w:val="000000"/>
                <w:lang w:val="en-GB" w:eastAsia="en-US"/>
              </w:rPr>
              <w:t>.</w:t>
            </w:r>
          </w:p>
        </w:tc>
      </w:tr>
    </w:tbl>
    <w:p>
      <w:pPr>
        <w:keepLines/>
        <w:spacing w:before="60" w:after="180"/>
        <w:rPr>
          <w:rFonts w:ascii="Arial" w:hAnsi="Arial"/>
          <w:color w:val="000000"/>
          <w:lang w:eastAsia="en-US"/>
        </w:rPr>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1612"/>
        <w:gridCol w:w="922"/>
        <w:gridCol w:w="593"/>
        <w:gridCol w:w="1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6609" w:type="dxa"/>
            <w:gridSpan w:val="5"/>
            <w:shd w:val="clear" w:color="auto" w:fill="E0E0E0"/>
            <w:vAlign w:val="center"/>
          </w:tcPr>
          <w:p>
            <w:pPr>
              <w:keepNext/>
              <w:keepLines/>
              <w:spacing w:after="0"/>
              <w:jc w:val="center"/>
              <w:rPr>
                <w:rFonts w:ascii="Arial" w:hAnsi="Arial"/>
                <w:b/>
                <w:sz w:val="18"/>
                <w:lang w:eastAsia="en-US"/>
              </w:rPr>
            </w:pPr>
            <w:r>
              <w:rPr>
                <w:rFonts w:ascii="Arial" w:hAnsi="Arial"/>
                <w:b/>
                <w:i/>
                <w:sz w:val="18"/>
                <w:lang w:eastAsia="en-US"/>
              </w:rPr>
              <w:t>codebookMode</w:t>
            </w:r>
            <w:r>
              <w:rPr>
                <w:rFonts w:ascii="Arial" w:hAnsi="Arial"/>
                <w:b/>
                <w:sz w:val="18"/>
                <w:lang w:eastAsia="en-US"/>
              </w:rPr>
              <w:t xml:space="preserve"> = 1-2, </w:t>
            </w:r>
            <m:oMath>
              <m:sSub>
                <m:sSubPr>
                  <m:ctrlPr>
                    <w:rPr>
                      <w:rFonts w:ascii="Cambria Math" w:hAnsi="Cambria Math" w:cs="Arial"/>
                      <w:i/>
                      <w:color w:val="000000"/>
                      <w:sz w:val="18"/>
                      <w:lang w:val="en-GB"/>
                    </w:rPr>
                  </m:ctrlPr>
                </m:sSubPr>
                <m:e>
                  <m:r>
                    <m:rPr/>
                    <w:rPr>
                      <w:rFonts w:ascii="Cambria Math" w:hAnsi="Cambria Math" w:cs="Arial"/>
                      <w:color w:val="000000"/>
                      <w:sz w:val="18"/>
                    </w:rPr>
                    <m:t>P</m:t>
                  </m:r>
                  <m:ctrlPr>
                    <w:rPr>
                      <w:rFonts w:ascii="Cambria Math" w:hAnsi="Cambria Math" w:cs="Arial"/>
                      <w:i/>
                      <w:color w:val="000000"/>
                      <w:sz w:val="18"/>
                      <w:lang w:val="en-GB"/>
                    </w:rPr>
                  </m:ctrlPr>
                </m:e>
                <m:sub>
                  <m:r>
                    <m:rPr>
                      <m:sty m:val="p"/>
                    </m:rPr>
                    <w:rPr>
                      <w:rFonts w:ascii="Cambria Math" w:hAnsi="Cambria Math" w:cs="Arial"/>
                      <w:color w:val="000000"/>
                      <w:sz w:val="18"/>
                    </w:rPr>
                    <m:t>CSI−RS</m:t>
                  </m:r>
                  <m:ctrlPr>
                    <w:rPr>
                      <w:rFonts w:ascii="Cambria Math" w:hAnsi="Cambria Math" w:cs="Arial"/>
                      <w:i/>
                      <w:color w:val="000000"/>
                      <w:sz w:val="18"/>
                      <w:lang w:val="en-GB"/>
                    </w:rPr>
                  </m:ctrlPr>
                </m:sub>
              </m:sSub>
              <m:r>
                <m:rPr/>
                <w:rPr>
                  <w:rFonts w:ascii="Cambria Math" w:hAnsi="Cambria Math" w:cs="Arial"/>
                  <w:color w:val="000000"/>
                  <w:sz w:val="18"/>
                  <w:lang w:val="en-GB"/>
                </w:rPr>
                <m:t>≥</m:t>
              </m:r>
              <m:r>
                <m:rPr/>
                <w:rPr>
                  <w:rFonts w:ascii="Cambria Math" w:hAnsi="Cambria Math" w:cs="Arial"/>
                  <w:color w:val="000000"/>
                  <w:sz w:val="18"/>
                </w:rPr>
                <m:t>16</m:t>
              </m:r>
            </m:oMath>
            <w:r>
              <w:rPr>
                <w:rFonts w:hint="eastAsia" w:hAnsi="Cambria Math" w:cs="Arial"/>
                <w:color w:val="000000"/>
                <w:sz w:val="18"/>
              </w:rPr>
              <w:t xml:space="preserve"> </w:t>
            </w:r>
            <w:r>
              <w:rPr>
                <w:rFonts w:hAnsi="Cambria Math" w:cs="Arial"/>
                <w:sz w:val="18"/>
                <w:highlight w:val="yellow"/>
              </w:rPr>
              <w:t>except for</w:t>
            </w:r>
            <w:r>
              <w:rPr>
                <w:rFonts w:hint="eastAsia" w:hAnsi="Cambria Math" w:cs="Arial"/>
                <w:sz w:val="18"/>
                <w:highlight w:val="yellow"/>
              </w:rPr>
              <w:t xml:space="preserve"> </w:t>
            </w:r>
            <w:r>
              <w:rPr>
                <w:rFonts w:hAnsi="Cambria Math" w:cs="Arial"/>
                <w:i/>
                <w:sz w:val="18"/>
                <w:highlight w:val="yellow"/>
              </w:rPr>
              <w:t>typeI-codebookMode-r19</w:t>
            </w:r>
            <w:r>
              <w:rPr>
                <w:rFonts w:hint="eastAsia" w:hAnsi="Cambria Math" w:cs="Arial"/>
                <w:sz w:val="18"/>
                <w:highlight w:val="yellow"/>
              </w:rPr>
              <w:t xml:space="preserve"> </w:t>
            </w:r>
            <w:r>
              <w:rPr>
                <w:rFonts w:hAnsi="Cambria Math" w:cs="Arial"/>
                <w:sz w:val="18"/>
                <w:highlight w:val="yellow"/>
              </w:rPr>
              <w:t xml:space="preserve">= </w:t>
            </w:r>
            <w:r>
              <w:rPr>
                <w:rFonts w:hAnsi="Cambria Math" w:cs="Arial"/>
                <w:i/>
                <w:sz w:val="18"/>
                <w:highlight w:val="yellow"/>
              </w:rPr>
              <w:t>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0" w:type="auto"/>
            <w:shd w:val="clear" w:color="auto" w:fill="E0E0E0"/>
            <w:vAlign w:val="center"/>
          </w:tcPr>
          <w:p>
            <w:pPr>
              <w:keepNext/>
              <w:keepLines/>
              <w:spacing w:before="0" w:after="0"/>
              <w:jc w:val="center"/>
              <w:rPr>
                <w:rFonts w:ascii="Arial" w:hAnsi="Arial"/>
                <w:color w:val="000000"/>
                <w:lang w:eastAsia="en-US"/>
              </w:rPr>
            </w:pPr>
            <w:r>
              <w:rPr>
                <w:rFonts w:ascii="Arial" w:hAnsi="Arial" w:cs="Arial"/>
                <w:color w:val="000000"/>
                <w:position w:val="-12"/>
                <w:lang w:val="en-GB" w:eastAsia="en-US"/>
              </w:rPr>
              <w:object>
                <v:shape id="_x0000_i1038" o:spt="75" type="#_x0000_t75" style="height:14.5pt;width:14.5pt;" o:ole="t" filled="f" o:preferrelative="t" stroked="f" coordsize="21600,21600">
                  <v:path/>
                  <v:fill on="f" focussize="0,0"/>
                  <v:stroke on="f" joinstyle="miter"/>
                  <v:imagedata r:id="rId8" o:title=""/>
                  <o:lock v:ext="edit" aspectratio="t"/>
                  <w10:wrap type="none"/>
                  <w10:anchorlock/>
                </v:shape>
                <o:OLEObject Type="Embed" ProgID="Equation.3" ShapeID="_x0000_i1038" DrawAspect="Content" ObjectID="_1468075736" r:id="rId29">
                  <o:LockedField>false</o:LockedField>
                </o:OLEObject>
              </w:object>
            </w:r>
          </w:p>
        </w:tc>
        <w:tc>
          <w:tcPr>
            <w:tcW w:w="0" w:type="auto"/>
            <w:shd w:val="clear" w:color="auto" w:fill="E0E0E0"/>
            <w:vAlign w:val="center"/>
          </w:tcPr>
          <w:p>
            <w:pPr>
              <w:keepNext/>
              <w:keepLines/>
              <w:spacing w:before="0" w:after="0"/>
              <w:jc w:val="center"/>
              <w:rPr>
                <w:rFonts w:ascii="Arial" w:hAnsi="Arial"/>
                <w:color w:val="000000"/>
                <w:lang w:eastAsia="en-US"/>
              </w:rPr>
            </w:pPr>
            <w:r>
              <w:rPr>
                <w:rFonts w:ascii="Arial" w:hAnsi="Arial" w:cs="Arial"/>
                <w:color w:val="000000"/>
                <w:position w:val="-12"/>
                <w:lang w:val="en-GB" w:eastAsia="en-US"/>
              </w:rPr>
              <w:object>
                <v:shape id="_x0000_i1039" o:spt="75" type="#_x0000_t75" style="height:14.5pt;width:14.5pt;" o:ole="t" filled="f" o:preferrelative="t" stroked="f" coordsize="21600,21600">
                  <v:path/>
                  <v:fill on="f" focussize="0,0"/>
                  <v:stroke on="f" joinstyle="miter"/>
                  <v:imagedata r:id="rId31" o:title=""/>
                  <o:lock v:ext="edit" aspectratio="t"/>
                  <w10:wrap type="none"/>
                  <w10:anchorlock/>
                </v:shape>
                <o:OLEObject Type="Embed" ProgID="Equation.DSMT4" ShapeID="_x0000_i1039" DrawAspect="Content" ObjectID="_1468075737" r:id="rId30">
                  <o:LockedField>false</o:LockedField>
                </o:OLEObject>
              </w:object>
            </w:r>
          </w:p>
        </w:tc>
        <w:tc>
          <w:tcPr>
            <w:tcW w:w="0" w:type="auto"/>
            <w:shd w:val="clear" w:color="auto" w:fill="E0E0E0"/>
            <w:vAlign w:val="center"/>
          </w:tcPr>
          <w:p>
            <w:pPr>
              <w:keepNext/>
              <w:keepLines/>
              <w:spacing w:before="0" w:after="0"/>
              <w:jc w:val="center"/>
              <w:rPr>
                <w:rFonts w:ascii="Arial" w:hAnsi="Arial"/>
                <w:color w:val="000000"/>
                <w:lang w:eastAsia="en-US"/>
              </w:rPr>
            </w:pPr>
            <w:r>
              <w:rPr>
                <w:rFonts w:ascii="Arial" w:hAnsi="Arial" w:cs="Arial"/>
                <w:color w:val="000000"/>
                <w:position w:val="-12"/>
                <w:lang w:val="en-GB" w:eastAsia="en-US"/>
              </w:rPr>
              <w:object>
                <v:shape id="_x0000_i1040" o:spt="75" type="#_x0000_t75" style="height:14.5pt;width:14.5pt;" o:ole="t" filled="f" o:preferrelative="t" stroked="f" coordsize="21600,21600">
                  <v:path/>
                  <v:fill on="f" focussize="0,0"/>
                  <v:stroke on="f" joinstyle="miter"/>
                  <v:imagedata r:id="rId33" o:title=""/>
                  <o:lock v:ext="edit" aspectratio="t"/>
                  <w10:wrap type="none"/>
                  <w10:anchorlock/>
                </v:shape>
                <o:OLEObject Type="Embed" ProgID="Equation.DSMT4" ShapeID="_x0000_i1040" DrawAspect="Content" ObjectID="_1468075738" r:id="rId32">
                  <o:LockedField>false</o:LockedField>
                </o:OLEObject>
              </w:object>
            </w:r>
          </w:p>
        </w:tc>
        <w:tc>
          <w:tcPr>
            <w:tcW w:w="0" w:type="auto"/>
            <w:shd w:val="clear" w:color="auto" w:fill="E0E0E0"/>
            <w:vAlign w:val="center"/>
          </w:tcPr>
          <w:p>
            <w:pPr>
              <w:keepNext/>
              <w:keepLines/>
              <w:spacing w:before="0" w:after="0"/>
              <w:jc w:val="center"/>
              <w:rPr>
                <w:rFonts w:ascii="Arial" w:hAnsi="Arial"/>
                <w:color w:val="000000"/>
                <w:lang w:eastAsia="en-US"/>
              </w:rPr>
            </w:pPr>
            <w:r>
              <w:rPr>
                <w:rFonts w:ascii="Arial" w:hAnsi="Arial" w:cs="Arial"/>
                <w:color w:val="000000"/>
                <w:position w:val="-10"/>
                <w:lang w:val="en-GB" w:eastAsia="en-US"/>
              </w:rPr>
              <w:object>
                <v:shape id="_x0000_i1041" o:spt="75" type="#_x0000_t75" style="height:14.5pt;width:7.5pt;" o:ole="t" filled="f" o:preferrelative="t" stroked="f" coordsize="21600,21600">
                  <v:path/>
                  <v:fill on="f" focussize="0,0"/>
                  <v:stroke on="f" joinstyle="miter"/>
                  <v:imagedata r:id="rId12" o:title=""/>
                  <o:lock v:ext="edit" aspectratio="t"/>
                  <w10:wrap type="none"/>
                  <w10:anchorlock/>
                </v:shape>
                <o:OLEObject Type="Embed" ProgID="Equation.DSMT4" ShapeID="_x0000_i1041" DrawAspect="Content" ObjectID="_1468075739" r:id="rId34">
                  <o:LockedField>false</o:LockedField>
                </o:OLEObject>
              </w:object>
            </w:r>
          </w:p>
        </w:tc>
        <w:tc>
          <w:tcPr>
            <w:tcW w:w="1595" w:type="dxa"/>
            <w:shd w:val="clear" w:color="auto" w:fill="E0E0E0"/>
            <w:vAlign w:val="center"/>
          </w:tcPr>
          <w:p>
            <w:pPr>
              <w:keepNext/>
              <w:keepLines/>
              <w:spacing w:before="0" w:after="0"/>
              <w:jc w:val="center"/>
              <w:rPr>
                <w:rFonts w:ascii="Arial" w:hAnsi="Arial"/>
                <w:color w:val="00000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0" w:type="auto"/>
            <w:shd w:val="clear" w:color="auto" w:fill="auto"/>
            <w:vAlign w:val="center"/>
          </w:tcPr>
          <w:p>
            <w:pPr>
              <w:keepNext/>
              <w:keepLines/>
              <w:spacing w:before="0" w:after="0"/>
              <w:jc w:val="center"/>
              <w:rPr>
                <w:rFonts w:ascii="Arial" w:hAnsi="Arial"/>
                <w:color w:val="000000"/>
                <w:lang w:eastAsia="en-US"/>
              </w:rPr>
            </w:pPr>
            <w:r>
              <w:rPr>
                <w:rFonts w:ascii="Arial" w:hAnsi="Arial"/>
                <w:color w:val="000000"/>
                <w:position w:val="-20"/>
                <w:lang w:val="en-GB" w:eastAsia="en-US"/>
              </w:rPr>
              <w:object>
                <v:shape id="_x0000_i1042" o:spt="75" type="#_x0000_t75" style="height:28.5pt;width:58pt;" o:ole="t" filled="f" o:preferrelative="t" stroked="f" coordsize="21600,21600">
                  <v:path/>
                  <v:fill on="f" focussize="0,0"/>
                  <v:stroke on="f" joinstyle="miter"/>
                  <v:imagedata r:id="rId36" o:title=""/>
                  <o:lock v:ext="edit" aspectratio="t"/>
                  <w10:wrap type="none"/>
                  <w10:anchorlock/>
                </v:shape>
                <o:OLEObject Type="Embed" ProgID="Equation.DSMT4" ShapeID="_x0000_i1042" DrawAspect="Content" ObjectID="_1468075740" r:id="rId35">
                  <o:LockedField>false</o:LockedField>
                </o:OLEObject>
              </w:object>
            </w:r>
          </w:p>
        </w:tc>
        <w:tc>
          <w:tcPr>
            <w:tcW w:w="0" w:type="auto"/>
            <w:shd w:val="clear" w:color="auto" w:fill="auto"/>
            <w:vAlign w:val="center"/>
          </w:tcPr>
          <w:p>
            <w:pPr>
              <w:keepNext/>
              <w:keepLines/>
              <w:spacing w:before="0" w:after="0"/>
              <w:jc w:val="center"/>
              <w:rPr>
                <w:rFonts w:ascii="Arial" w:hAnsi="Arial"/>
                <w:color w:val="000000"/>
                <w:lang w:eastAsia="en-US"/>
              </w:rPr>
            </w:pPr>
            <w:r>
              <w:rPr>
                <w:rFonts w:ascii="Arial" w:hAnsi="Arial" w:cs="Arial"/>
                <w:color w:val="000000"/>
                <w:position w:val="-10"/>
                <w:lang w:val="en-GB"/>
              </w:rPr>
              <w:object>
                <v:shape id="_x0000_i1043" o:spt="75" type="#_x0000_t75" style="height:14.5pt;width:58pt;" o:ole="t" filled="f" o:preferrelative="t" stroked="f" coordsize="21600,21600">
                  <v:path/>
                  <v:fill on="f" focussize="0,0"/>
                  <v:stroke on="f" joinstyle="miter"/>
                  <v:imagedata r:id="rId38" o:title=""/>
                  <o:lock v:ext="edit" aspectratio="t"/>
                  <w10:wrap type="none"/>
                  <w10:anchorlock/>
                </v:shape>
                <o:OLEObject Type="Embed" ProgID="Equation.DSMT4" ShapeID="_x0000_i1043" DrawAspect="Content" ObjectID="_1468075741" r:id="rId37">
                  <o:LockedField>false</o:LockedField>
                </o:OLEObject>
              </w:object>
            </w:r>
          </w:p>
        </w:tc>
        <w:tc>
          <w:tcPr>
            <w:tcW w:w="0" w:type="auto"/>
            <w:shd w:val="clear" w:color="auto" w:fill="auto"/>
            <w:vAlign w:val="center"/>
          </w:tcPr>
          <w:p>
            <w:pPr>
              <w:keepNext/>
              <w:keepLines/>
              <w:spacing w:before="0" w:after="0"/>
              <w:jc w:val="center"/>
              <w:rPr>
                <w:rFonts w:ascii="Arial" w:hAnsi="Arial"/>
                <w:color w:val="000000"/>
                <w:lang w:eastAsia="en-US"/>
              </w:rPr>
            </w:pPr>
            <w:r>
              <w:rPr>
                <w:rFonts w:ascii="Arial" w:hAnsi="Arial" w:cs="Arial"/>
                <w:color w:val="000000"/>
                <w:position w:val="-8"/>
                <w:lang w:val="en-GB"/>
              </w:rPr>
              <w:object>
                <v:shape id="_x0000_i1044" o:spt="75" type="#_x0000_t75" style="height:14.5pt;width:28.5pt;" o:ole="t" filled="f" o:preferrelative="t" stroked="f" coordsize="21600,21600">
                  <v:path/>
                  <v:fill on="f" focussize="0,0"/>
                  <v:stroke on="f" joinstyle="miter"/>
                  <v:imagedata r:id="rId40" o:title=""/>
                  <o:lock v:ext="edit" aspectratio="t"/>
                  <w10:wrap type="none"/>
                  <w10:anchorlock/>
                </v:shape>
                <o:OLEObject Type="Embed" ProgID="Equation.DSMT4" ShapeID="_x0000_i1044" DrawAspect="Content" ObjectID="_1468075742" r:id="rId39">
                  <o:LockedField>false</o:LockedField>
                </o:OLEObject>
              </w:object>
            </w:r>
          </w:p>
        </w:tc>
        <w:tc>
          <w:tcPr>
            <w:tcW w:w="0" w:type="auto"/>
            <w:shd w:val="clear" w:color="auto" w:fill="auto"/>
            <w:vAlign w:val="center"/>
          </w:tcPr>
          <w:p>
            <w:pPr>
              <w:keepNext/>
              <w:keepLines/>
              <w:spacing w:before="0" w:after="0"/>
              <w:jc w:val="center"/>
              <w:rPr>
                <w:rFonts w:ascii="Arial" w:hAnsi="Arial"/>
                <w:color w:val="000000"/>
                <w:lang w:eastAsia="en-US"/>
              </w:rPr>
            </w:pPr>
            <w:r>
              <w:rPr>
                <w:rFonts w:ascii="Arial" w:hAnsi="Arial" w:cs="Arial"/>
                <w:color w:val="000000"/>
                <w:position w:val="-8"/>
                <w:lang w:val="en-GB"/>
              </w:rPr>
              <w:object>
                <v:shape id="_x0000_i1045" o:spt="75" type="#_x0000_t75" style="height:14.5pt;width:14.5pt;" o:ole="t" filled="f" o:preferrelative="t" stroked="f" coordsize="21600,21600">
                  <v:path/>
                  <v:fill on="f" focussize="0,0"/>
                  <v:stroke on="f" joinstyle="miter"/>
                  <v:imagedata r:id="rId18" o:title=""/>
                  <o:lock v:ext="edit" aspectratio="t"/>
                  <w10:wrap type="none"/>
                  <w10:anchorlock/>
                </v:shape>
                <o:OLEObject Type="Embed" ProgID="Equation.DSMT4" ShapeID="_x0000_i1045" DrawAspect="Content" ObjectID="_1468075743" r:id="rId41">
                  <o:LockedField>false</o:LockedField>
                </o:OLEObject>
              </w:object>
            </w:r>
          </w:p>
        </w:tc>
        <w:tc>
          <w:tcPr>
            <w:tcW w:w="1595" w:type="dxa"/>
            <w:shd w:val="clear" w:color="auto" w:fill="auto"/>
            <w:vAlign w:val="center"/>
          </w:tcPr>
          <w:p>
            <w:pPr>
              <w:keepNext/>
              <w:keepLines/>
              <w:spacing w:before="0" w:after="0"/>
              <w:jc w:val="center"/>
              <w:rPr>
                <w:rFonts w:ascii="Arial" w:hAnsi="Arial"/>
                <w:color w:val="000000"/>
                <w:lang w:eastAsia="en-US"/>
              </w:rPr>
            </w:pPr>
            <w:r>
              <w:rPr>
                <w:rFonts w:ascii="Arial" w:hAnsi="Arial"/>
                <w:color w:val="000000"/>
                <w:position w:val="-16"/>
                <w:lang w:val="en-GB" w:eastAsia="en-US"/>
              </w:rPr>
              <w:object>
                <v:shape id="_x0000_i1046" o:spt="75" type="#_x0000_t75" style="height:21.5pt;width:43.5pt;" o:ole="t" filled="f" o:preferrelative="t" stroked="f" coordsize="21600,21600">
                  <v:path/>
                  <v:fill on="f" focussize="0,0"/>
                  <v:stroke on="f" joinstyle="miter"/>
                  <v:imagedata r:id="rId43" o:title=""/>
                  <o:lock v:ext="edit" aspectratio="t"/>
                  <w10:wrap type="none"/>
                  <w10:anchorlock/>
                </v:shape>
                <o:OLEObject Type="Embed" ProgID="Equation.DSMT4" ShapeID="_x0000_i1046" DrawAspect="Content" ObjectID="_1468075744" r:id="rId4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jc w:val="center"/>
        </w:trPr>
        <w:tc>
          <w:tcPr>
            <w:tcW w:w="6609" w:type="dxa"/>
            <w:gridSpan w:val="5"/>
            <w:shd w:val="clear" w:color="auto" w:fill="auto"/>
            <w:vAlign w:val="center"/>
          </w:tcPr>
          <w:p>
            <w:pPr>
              <w:keepNext/>
              <w:keepLines/>
              <w:spacing w:before="0" w:after="0"/>
              <w:jc w:val="center"/>
              <w:rPr>
                <w:rFonts w:ascii="Arial" w:hAnsi="Arial"/>
                <w:color w:val="000000"/>
                <w:lang w:eastAsia="en-US"/>
              </w:rPr>
            </w:pPr>
            <w:r>
              <w:rPr>
                <w:color w:val="000000"/>
                <w:lang w:val="en-GB" w:eastAsia="en-US"/>
              </w:rPr>
              <w:t xml:space="preserve">where </w:t>
            </w:r>
            <w:r>
              <w:rPr>
                <w:rFonts w:ascii="Arial" w:hAnsi="Arial"/>
                <w:color w:val="000000"/>
                <w:position w:val="-64"/>
                <w:lang w:val="en-GB" w:eastAsia="en-US"/>
              </w:rPr>
              <w:object>
                <v:shape id="_x0000_i1047" o:spt="75" type="#_x0000_t75" style="height:72pt;width:230.5pt;" o:ole="t" filled="f" o:preferrelative="t" stroked="f" coordsize="21600,21600">
                  <v:path/>
                  <v:fill on="f" focussize="0,0"/>
                  <v:stroke on="f" joinstyle="miter"/>
                  <v:imagedata r:id="rId45" o:title=""/>
                  <o:lock v:ext="edit" aspectratio="t"/>
                  <w10:wrap type="none"/>
                  <w10:anchorlock/>
                </v:shape>
                <o:OLEObject Type="Embed" ProgID="Equation.DSMT4" ShapeID="_x0000_i1047" DrawAspect="Content" ObjectID="_1468075745" r:id="rId44">
                  <o:LockedField>false</o:LockedField>
                </o:OLEObject>
              </w:object>
            </w:r>
            <w:r>
              <w:rPr>
                <w:rFonts w:ascii="Arial" w:hAnsi="Arial"/>
                <w:color w:val="000000"/>
                <w:lang w:val="en-GB" w:eastAsia="en-US"/>
              </w:rPr>
              <w:t>.</w:t>
            </w:r>
          </w:p>
        </w:tc>
      </w:tr>
    </w:tbl>
    <w:p>
      <w:r>
        <w:rPr>
          <w:rFonts w:hint="eastAsia"/>
        </w:rPr>
        <w:t>A</w:t>
      </w:r>
      <w:r>
        <w:t xml:space="preserve">s depicted in Figure 1, SLS results indicate that </w:t>
      </w:r>
      <w:r>
        <w:rPr>
          <w:rFonts w:hint="eastAsia"/>
        </w:rPr>
        <w:t xml:space="preserve">R19 Type-I(Scheme-A) codebook </w:t>
      </w:r>
      <w:r>
        <w:rPr>
          <w:rFonts w:hint="eastAsia"/>
          <w:szCs w:val="24"/>
        </w:rPr>
        <w:t xml:space="preserve">for </w:t>
      </w:r>
      <w:r>
        <w:rPr>
          <w:rFonts w:eastAsia="Batang"/>
          <w:iCs/>
          <w:szCs w:val="20"/>
          <w:lang w:val="en-GB" w:eastAsia="en-US"/>
        </w:rPr>
        <w:t>rank-3/4</w:t>
      </w:r>
      <w:r>
        <w:t xml:space="preserve"> still offers a UPT gain (i.e., ~</w:t>
      </w:r>
      <w:r>
        <w:rPr>
          <w:rFonts w:hint="eastAsia"/>
        </w:rPr>
        <w:t>21</w:t>
      </w:r>
      <w:r>
        <w:t>.</w:t>
      </w:r>
      <w:r>
        <w:rPr>
          <w:rFonts w:hint="eastAsia"/>
        </w:rPr>
        <w:t>2</w:t>
      </w:r>
      <w:r>
        <w:t>% for cell-edge UE, ~</w:t>
      </w:r>
      <w:r>
        <w:rPr>
          <w:rFonts w:hint="eastAsia"/>
        </w:rPr>
        <w:t>3.8</w:t>
      </w:r>
      <w:r>
        <w:t>% for</w:t>
      </w:r>
      <w:r>
        <w:rPr>
          <w:rFonts w:hint="eastAsia"/>
        </w:rPr>
        <w:t xml:space="preserve"> near-field</w:t>
      </w:r>
      <w:r>
        <w:t xml:space="preserve"> UE</w:t>
      </w:r>
      <w:r>
        <w:rPr>
          <w:rFonts w:hint="eastAsia"/>
        </w:rPr>
        <w:t xml:space="preserve">, </w:t>
      </w:r>
      <w:r>
        <w:t>~</w:t>
      </w:r>
      <w:r>
        <w:rPr>
          <w:rFonts w:hint="eastAsia"/>
        </w:rPr>
        <w:t>8.1</w:t>
      </w:r>
      <w:r>
        <w:t xml:space="preserve">% in average) over </w:t>
      </w:r>
      <w:r>
        <w:rPr>
          <w:rFonts w:eastAsia="Batang"/>
          <w:iCs/>
          <w:szCs w:val="20"/>
          <w:lang w:val="en-GB" w:eastAsia="en-US"/>
        </w:rPr>
        <w:t xml:space="preserve">legacy mechanisms for </w:t>
      </w:r>
      <w:r>
        <w:rPr>
          <w:rFonts w:hint="eastAsia"/>
          <w:iCs/>
          <w:szCs w:val="20"/>
        </w:rPr>
        <w:t>≥</w:t>
      </w:r>
      <w:r>
        <w:rPr>
          <w:rFonts w:eastAsia="Batang"/>
          <w:iCs/>
          <w:szCs w:val="20"/>
          <w:lang w:val="en-GB" w:eastAsia="en-US"/>
        </w:rPr>
        <w:t>16 ports</w:t>
      </w:r>
      <w:r>
        <w:t xml:space="preserve"> when P</w:t>
      </w:r>
      <w:r>
        <w:rPr>
          <w:vertAlign w:val="subscript"/>
        </w:rPr>
        <w:t>CSI-RS</w:t>
      </w:r>
      <w:r>
        <w:t xml:space="preserve"> </w:t>
      </w:r>
      <w:r>
        <w:rPr>
          <w:rFonts w:hint="eastAsia"/>
        </w:rPr>
        <w:t xml:space="preserve">= </w:t>
      </w:r>
      <w:r>
        <w:t>32, emphasizing the potential benefits of a unified approach.</w:t>
      </w:r>
    </w:p>
    <w:p>
      <w:pPr>
        <w:jc w:val="center"/>
      </w:pPr>
      <w:r>
        <w:drawing>
          <wp:inline distT="0" distB="0" distL="114300" distR="114300">
            <wp:extent cx="4572000" cy="2609850"/>
            <wp:effectExtent l="4445" t="4445" r="14605" b="14605"/>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pPr>
        <w:pStyle w:val="112"/>
        <w:snapToGrid w:val="0"/>
        <w:spacing w:before="72" w:beforeLines="30" w:after="72" w:afterLines="30" w:line="300" w:lineRule="auto"/>
        <w:ind w:firstLine="0" w:firstLineChars="0"/>
        <w:jc w:val="center"/>
        <w:textAlignment w:val="center"/>
        <w:rPr>
          <w:rFonts w:eastAsia="微软雅黑"/>
          <w:szCs w:val="20"/>
        </w:rPr>
      </w:pPr>
      <w:r>
        <w:rPr>
          <w:b/>
          <w:szCs w:val="20"/>
        </w:rPr>
        <w:t>Figure 1</w:t>
      </w:r>
      <w:r>
        <w:rPr>
          <w:rFonts w:hint="eastAsia"/>
          <w:szCs w:val="20"/>
        </w:rPr>
        <w:t xml:space="preserve"> </w:t>
      </w:r>
      <w:r>
        <w:rPr>
          <w:rFonts w:eastAsia="微软雅黑"/>
          <w:szCs w:val="20"/>
        </w:rPr>
        <w:t xml:space="preserve">SLS results of </w:t>
      </w:r>
      <w:r>
        <w:rPr>
          <w:rFonts w:hint="eastAsia" w:eastAsia="微软雅黑"/>
          <w:szCs w:val="20"/>
        </w:rPr>
        <w:t xml:space="preserve">UPT </w:t>
      </w:r>
      <w:r>
        <w:rPr>
          <w:rFonts w:eastAsia="微软雅黑"/>
          <w:szCs w:val="20"/>
        </w:rPr>
        <w:t>gain for</w:t>
      </w:r>
      <w:r>
        <w:rPr>
          <w:rFonts w:hint="eastAsia" w:eastAsia="微软雅黑"/>
          <w:szCs w:val="20"/>
        </w:rPr>
        <w:t xml:space="preserve"> R19 Type-I(Scheme-A) codebook for RI=3-4</w:t>
      </w:r>
      <w:r>
        <w:rPr>
          <w:rFonts w:eastAsia="微软雅黑"/>
          <w:szCs w:val="20"/>
        </w:rPr>
        <w:t xml:space="preserve"> compared with R15 legacy</w:t>
      </w:r>
    </w:p>
    <w:p>
      <w:pPr>
        <w:rPr>
          <w:rFonts w:eastAsia="微软雅黑"/>
          <w:b/>
          <w:i/>
        </w:rPr>
      </w:pPr>
      <w:r>
        <w:t xml:space="preserve">Furthermore, </w:t>
      </w:r>
      <w:r>
        <w:rPr>
          <w:rFonts w:hint="eastAsia"/>
        </w:rPr>
        <w:t>f</w:t>
      </w:r>
      <w:r>
        <w:t>or</w:t>
      </w:r>
      <w:r>
        <w:rPr>
          <w:rFonts w:hint="eastAsia"/>
        </w:rPr>
        <w:t xml:space="preserve"> the</w:t>
      </w:r>
      <w:r>
        <w:t xml:space="preserve"> </w:t>
      </w:r>
      <w:r>
        <w:rPr>
          <w:rFonts w:hint="eastAsia"/>
        </w:rPr>
        <w:t>S</w:t>
      </w:r>
      <w:r>
        <w:t>cheme-B of the R19</w:t>
      </w:r>
      <w:r>
        <w:rPr>
          <w:rFonts w:hint="eastAsia"/>
        </w:rPr>
        <w:t xml:space="preserve"> Type-I SP</w:t>
      </w:r>
      <w:r>
        <w:t xml:space="preserve"> codebook, it provides more flexibility </w:t>
      </w:r>
      <w:r>
        <w:rPr>
          <w:rFonts w:hint="eastAsia"/>
        </w:rPr>
        <w:t>in</w:t>
      </w:r>
      <w:r>
        <w:t xml:space="preserve"> codebook generation and is only applicable to codebooks with </w:t>
      </w:r>
      <w:r>
        <w:rPr>
          <w:rFonts w:hint="eastAsia"/>
        </w:rPr>
        <w:t>&gt;</w:t>
      </w:r>
      <w:r>
        <w:t xml:space="preserve">32 ports. To ensure the uniformity and better performance of the codebook, we also recommend extending scheme-B of the R19 codebook to </w:t>
      </w:r>
      <w:r>
        <w:rPr>
          <w:rFonts w:hint="eastAsia"/>
        </w:rPr>
        <w:t>the</w:t>
      </w:r>
      <w:r>
        <w:t xml:space="preserve"> case of P</w:t>
      </w:r>
      <w:r>
        <w:rPr>
          <w:vertAlign w:val="subscript"/>
        </w:rPr>
        <w:t>CSI-RS</w:t>
      </w:r>
      <w:r>
        <w:t xml:space="preserve"> </w:t>
      </w:r>
      <w:r>
        <w:rPr>
          <w:rFonts w:hint="eastAsia"/>
        </w:rPr>
        <w:t>≤</w:t>
      </w:r>
      <w:r>
        <w:t>32 ports. BTW, clearly, CSI-RS resource aggregation should not be considered in such case.</w:t>
      </w:r>
    </w:p>
    <w:p>
      <w:pPr>
        <w:rPr>
          <w:rFonts w:eastAsia="微软雅黑"/>
          <w:i/>
          <w:szCs w:val="20"/>
        </w:rPr>
      </w:pPr>
      <w:r>
        <w:rPr>
          <w:rFonts w:hint="eastAsia"/>
          <w:b/>
          <w:i/>
        </w:rPr>
        <w:t>P</w:t>
      </w:r>
      <w:r>
        <w:rPr>
          <w:b/>
          <w:i/>
        </w:rPr>
        <w:t>roposal 1:</w:t>
      </w:r>
      <w:r>
        <w:rPr>
          <w:i/>
        </w:rPr>
        <w:t xml:space="preserve"> </w:t>
      </w:r>
      <w:r>
        <w:rPr>
          <w:rFonts w:hint="eastAsia" w:eastAsia="微软雅黑"/>
          <w:i/>
          <w:szCs w:val="20"/>
        </w:rPr>
        <w:t xml:space="preserve">For the </w:t>
      </w:r>
      <w:bookmarkStart w:id="1" w:name="_Hlk178448593"/>
      <w:r>
        <w:rPr>
          <w:rFonts w:hint="eastAsia" w:eastAsia="微软雅黑"/>
          <w:i/>
          <w:szCs w:val="20"/>
        </w:rPr>
        <w:t xml:space="preserve">Rel-19 Type-I SP codebook refinement </w:t>
      </w:r>
      <w:bookmarkEnd w:id="1"/>
      <w:r>
        <w:rPr>
          <w:rFonts w:hint="eastAsia" w:eastAsia="微软雅黑"/>
          <w:i/>
          <w:szCs w:val="20"/>
        </w:rPr>
        <w:t>for 48, 64, and 128 CSI-RS ports, extend the agreed Scheme-A and Scheme-B to the legacy number of CSI-RS ports (i.e. 4, 8, 12, 16, 24, and 32 ports) for all applicable RI values (1, ..., min(P</w:t>
      </w:r>
      <w:r>
        <w:rPr>
          <w:rFonts w:hint="eastAsia" w:eastAsia="微软雅黑"/>
          <w:i/>
          <w:szCs w:val="20"/>
          <w:vertAlign w:val="subscript"/>
        </w:rPr>
        <w:t>CSI-RS</w:t>
      </w:r>
      <w:r>
        <w:rPr>
          <w:rFonts w:hint="eastAsia" w:eastAsia="微软雅黑"/>
          <w:i/>
          <w:szCs w:val="20"/>
        </w:rPr>
        <w:t>, 8)) with K=1 only, and without an further modification/enhancement.</w:t>
      </w:r>
    </w:p>
    <w:p>
      <w:pPr>
        <w:pStyle w:val="112"/>
        <w:numPr>
          <w:ilvl w:val="2"/>
          <w:numId w:val="8"/>
        </w:numPr>
        <w:snapToGrid w:val="0"/>
        <w:spacing w:before="72" w:beforeLines="30" w:after="72" w:afterLines="30" w:line="300" w:lineRule="auto"/>
        <w:ind w:firstLineChars="0"/>
        <w:textAlignment w:val="center"/>
        <w:outlineLvl w:val="2"/>
        <w:rPr>
          <w:b/>
          <w:bCs/>
          <w:sz w:val="21"/>
          <w:szCs w:val="21"/>
        </w:rPr>
      </w:pPr>
      <w:r>
        <w:rPr>
          <w:b/>
          <w:bCs/>
          <w:sz w:val="21"/>
          <w:szCs w:val="21"/>
        </w:rPr>
        <w:t>3-bit scaling factor</w:t>
      </w:r>
    </w:p>
    <w:p>
      <w:r>
        <w:rPr>
          <w:rFonts w:hint="eastAsia"/>
        </w:rPr>
        <w:t>R</w:t>
      </w:r>
      <w:r>
        <w:t>egarding</w:t>
      </w:r>
      <w:r>
        <w:rPr>
          <w:rFonts w:hint="eastAsia"/>
        </w:rPr>
        <w:t xml:space="preserve"> the</w:t>
      </w:r>
      <w:r>
        <w:t xml:space="preserve"> 3-bit scaling factor for Type-I codebook, the following agreement was reached in RAN1#118.</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pacing w:before="0" w:after="0"/>
              <w:jc w:val="left"/>
              <w:rPr>
                <w:rFonts w:eastAsiaTheme="minorEastAsia"/>
                <w:b/>
                <w:bCs/>
                <w:szCs w:val="24"/>
                <w:u w:val="single"/>
                <w:lang w:val="en-GB"/>
              </w:rPr>
            </w:pPr>
            <w:r>
              <w:rPr>
                <w:rFonts w:eastAsia="Batang"/>
                <w:b/>
                <w:bCs/>
                <w:szCs w:val="24"/>
                <w:u w:val="single"/>
                <w:lang w:val="en-GB"/>
              </w:rPr>
              <w:t>Agreement (RAN1#118)</w:t>
            </w:r>
          </w:p>
          <w:p>
            <w:pPr>
              <w:snapToGrid w:val="0"/>
              <w:spacing w:before="0" w:after="0"/>
              <w:rPr>
                <w:rFonts w:eastAsia="Malgun Gothic"/>
                <w:szCs w:val="20"/>
                <w:lang w:val="en-GB" w:eastAsia="ja-JP"/>
              </w:rPr>
            </w:pPr>
            <w:r>
              <w:rPr>
                <w:rFonts w:eastAsia="Batang"/>
                <w:iCs/>
                <w:szCs w:val="20"/>
                <w:lang w:val="en-GB" w:eastAsia="en-US"/>
              </w:rPr>
              <w:t xml:space="preserve">For the Rel-19 Type-I codebook refinement for 48, 64, and 128 CSI-RS ports, </w:t>
            </w:r>
            <w:r>
              <w:rPr>
                <w:rFonts w:eastAsia="Batang"/>
                <w:iCs/>
                <w:szCs w:val="20"/>
                <w:u w:val="single"/>
                <w:lang w:val="en-GB" w:eastAsia="en-US"/>
              </w:rPr>
              <w:t>study</w:t>
            </w:r>
            <w:r>
              <w:rPr>
                <w:rFonts w:eastAsia="Batang"/>
                <w:iCs/>
                <w:szCs w:val="20"/>
                <w:lang w:val="en-GB" w:eastAsia="en-US"/>
              </w:rPr>
              <w:t>, for RI=</w:t>
            </w:r>
            <w:r>
              <w:rPr>
                <w:rFonts w:eastAsia="Malgun Gothic"/>
                <w:i/>
                <w:szCs w:val="20"/>
                <w:lang w:val="en-GB" w:eastAsia="ja-JP"/>
              </w:rPr>
              <w:t xml:space="preserve"> </w:t>
            </w:r>
            <m:oMath>
              <m:r>
                <m:rPr/>
                <w:rPr>
                  <w:rFonts w:ascii="Cambria Math" w:hAnsi="Cambria Math" w:eastAsia="Malgun Gothic"/>
                  <w:szCs w:val="20"/>
                  <w:lang w:val="en-GB" w:eastAsia="ja-JP"/>
                </w:rPr>
                <m:t>ϑ</m:t>
              </m:r>
            </m:oMath>
            <w:r>
              <w:rPr>
                <w:rFonts w:eastAsia="Batang"/>
                <w:iCs/>
                <w:szCs w:val="20"/>
                <w:lang w:val="en-GB" w:eastAsia="en-US"/>
              </w:rPr>
              <w:t xml:space="preserve"> &gt;1, applying the 3-bit scaling factor(s) as agreed in RAN1#117, where a per-layer scaling factor applied to the </w:t>
            </w:r>
            <m:oMath>
              <m:sSup>
                <m:sSupPr>
                  <m:ctrlPr>
                    <w:rPr>
                      <w:rFonts w:ascii="Cambria Math" w:hAnsi="Cambria Math" w:eastAsia="Batang"/>
                      <w:i/>
                      <w:iCs/>
                      <w:szCs w:val="20"/>
                      <w:lang w:val="en-GB" w:eastAsia="en-US"/>
                    </w:rPr>
                  </m:ctrlPr>
                </m:sSupPr>
                <m:e>
                  <m:r>
                    <m:rPr/>
                    <w:rPr>
                      <w:rFonts w:ascii="Cambria Math" w:hAnsi="Cambria Math" w:eastAsia="Batang"/>
                      <w:szCs w:val="20"/>
                      <w:lang w:val="en-GB" w:eastAsia="en-US"/>
                    </w:rPr>
                    <m:t>i</m:t>
                  </m:r>
                  <m:ctrlPr>
                    <w:rPr>
                      <w:rFonts w:ascii="Cambria Math" w:hAnsi="Cambria Math" w:eastAsia="Batang"/>
                      <w:i/>
                      <w:iCs/>
                      <w:szCs w:val="20"/>
                      <w:lang w:val="en-GB" w:eastAsia="en-US"/>
                    </w:rPr>
                  </m:ctrlPr>
                </m:e>
                <m:sup>
                  <m:r>
                    <m:rPr/>
                    <w:rPr>
                      <w:rFonts w:ascii="Cambria Math" w:hAnsi="Cambria Math" w:eastAsia="Batang"/>
                      <w:szCs w:val="20"/>
                      <w:lang w:val="en-GB" w:eastAsia="en-US"/>
                    </w:rPr>
                    <m:t>tℎ</m:t>
                  </m:r>
                  <m:ctrlPr>
                    <w:rPr>
                      <w:rFonts w:ascii="Cambria Math" w:hAnsi="Cambria Math" w:eastAsia="Batang"/>
                      <w:i/>
                      <w:iCs/>
                      <w:szCs w:val="20"/>
                      <w:lang w:val="en-GB" w:eastAsia="en-US"/>
                    </w:rPr>
                  </m:ctrlPr>
                </m:sup>
              </m:sSup>
            </m:oMath>
            <w:r>
              <w:rPr>
                <w:rFonts w:eastAsia="Malgun Gothic"/>
                <w:iCs/>
                <w:szCs w:val="20"/>
                <w:lang w:val="en-GB" w:eastAsia="en-US"/>
              </w:rPr>
              <w:t xml:space="preserve"> selected SD basis vector is given by e.g. </w:t>
            </w:r>
            <m:oMath>
              <m:r>
                <m:rPr/>
                <w:rPr>
                  <w:rFonts w:ascii="Cambria Math" w:hAnsi="Cambria Math" w:eastAsia="Malgun Gothic"/>
                  <w:szCs w:val="20"/>
                  <w:lang w:val="en-GB" w:eastAsia="ja-JP"/>
                </w:rPr>
                <m:t>min</m:t>
              </m:r>
              <m:d>
                <m:dPr>
                  <m:begChr m:val="{"/>
                  <m:endChr m:val="}"/>
                  <m:ctrlPr>
                    <w:rPr>
                      <w:rFonts w:ascii="Cambria Math" w:hAnsi="Cambria Math" w:eastAsia="Malgun Gothic"/>
                      <w:i/>
                      <w:szCs w:val="20"/>
                      <w:lang w:val="en-GB" w:eastAsia="ja-JP"/>
                    </w:rPr>
                  </m:ctrlPr>
                </m:dPr>
                <m:e>
                  <m:r>
                    <m:rPr/>
                    <w:rPr>
                      <w:rFonts w:ascii="Cambria Math" w:hAnsi="Cambria Math" w:eastAsia="Malgun Gothic"/>
                      <w:szCs w:val="20"/>
                      <w:lang w:val="en-GB" w:eastAsia="ja-JP"/>
                    </w:rPr>
                    <m:t>1,</m:t>
                  </m:r>
                  <m:f>
                    <m:fPr>
                      <m:ctrlPr>
                        <w:rPr>
                          <w:rFonts w:ascii="Cambria Math" w:hAnsi="Cambria Math" w:eastAsia="Malgun Gothic"/>
                          <w:i/>
                          <w:szCs w:val="20"/>
                          <w:lang w:val="en-GB" w:eastAsia="ja-JP"/>
                        </w:rPr>
                      </m:ctrlPr>
                    </m:fPr>
                    <m:num>
                      <m:r>
                        <m:rPr/>
                        <w:rPr>
                          <w:rFonts w:ascii="Cambria Math" w:hAnsi="Cambria Math" w:eastAsia="Malgun Gothic"/>
                          <w:szCs w:val="20"/>
                          <w:lang w:val="en-GB" w:eastAsia="ja-JP"/>
                        </w:rPr>
                        <m:t>ϑ</m:t>
                      </m:r>
                      <m:sSubSup>
                        <m:sSubSupPr>
                          <m:ctrlPr>
                            <w:rPr>
                              <w:rFonts w:ascii="Cambria Math" w:hAnsi="Cambria Math" w:eastAsia="Malgun Gothic"/>
                              <w:i/>
                              <w:szCs w:val="20"/>
                              <w:lang w:val="en-GB" w:eastAsia="ja-JP"/>
                            </w:rPr>
                          </m:ctrlPr>
                        </m:sSubSupPr>
                        <m:e>
                          <m:r>
                            <m:rPr/>
                            <w:rPr>
                              <w:rFonts w:ascii="Cambria Math" w:hAnsi="Cambria Math" w:eastAsia="Malgun Gothic"/>
                              <w:szCs w:val="20"/>
                              <w:lang w:val="en-GB" w:eastAsia="ja-JP"/>
                            </w:rPr>
                            <m:t>s</m:t>
                          </m:r>
                          <m:ctrlPr>
                            <w:rPr>
                              <w:rFonts w:ascii="Cambria Math" w:hAnsi="Cambria Math" w:eastAsia="Malgun Gothic"/>
                              <w:i/>
                              <w:szCs w:val="20"/>
                              <w:lang w:val="en-GB" w:eastAsia="ja-JP"/>
                            </w:rPr>
                          </m:ctrlPr>
                        </m:e>
                        <m:sub>
                          <m:r>
                            <m:rPr/>
                            <w:rPr>
                              <w:rFonts w:ascii="Cambria Math" w:hAnsi="Cambria Math" w:eastAsia="Malgun Gothic"/>
                              <w:szCs w:val="20"/>
                              <w:lang w:val="en-GB" w:eastAsia="ja-JP"/>
                            </w:rPr>
                            <m:t>i</m:t>
                          </m:r>
                          <m:ctrlPr>
                            <w:rPr>
                              <w:rFonts w:ascii="Cambria Math" w:hAnsi="Cambria Math" w:eastAsia="Malgun Gothic"/>
                              <w:i/>
                              <w:szCs w:val="20"/>
                              <w:lang w:val="en-GB" w:eastAsia="ja-JP"/>
                            </w:rPr>
                          </m:ctrlPr>
                        </m:sub>
                        <m:sup>
                          <m:r>
                            <m:rPr/>
                            <w:rPr>
                              <w:rFonts w:ascii="Cambria Math" w:hAnsi="Cambria Math" w:eastAsia="Malgun Gothic"/>
                              <w:szCs w:val="20"/>
                              <w:lang w:val="en-GB" w:eastAsia="ja-JP"/>
                            </w:rPr>
                            <m:t>2</m:t>
                          </m:r>
                          <m:ctrlPr>
                            <w:rPr>
                              <w:rFonts w:ascii="Cambria Math" w:hAnsi="Cambria Math" w:eastAsia="Malgun Gothic"/>
                              <w:i/>
                              <w:szCs w:val="20"/>
                              <w:lang w:val="en-GB" w:eastAsia="ja-JP"/>
                            </w:rPr>
                          </m:ctrlPr>
                        </m:sup>
                      </m:sSubSup>
                      <m:ctrlPr>
                        <w:rPr>
                          <w:rFonts w:ascii="Cambria Math" w:hAnsi="Cambria Math" w:eastAsia="Malgun Gothic"/>
                          <w:i/>
                          <w:szCs w:val="20"/>
                          <w:lang w:val="en-GB" w:eastAsia="ja-JP"/>
                        </w:rPr>
                      </m:ctrlPr>
                    </m:num>
                    <m:den>
                      <m:sSub>
                        <m:sSubPr>
                          <m:ctrlPr>
                            <w:rPr>
                              <w:rFonts w:ascii="Cambria Math" w:hAnsi="Cambria Math" w:eastAsia="Malgun Gothic"/>
                              <w:i/>
                              <w:szCs w:val="20"/>
                              <w:lang w:val="en-GB" w:eastAsia="ja-JP"/>
                            </w:rPr>
                          </m:ctrlPr>
                        </m:sSubPr>
                        <m:e>
                          <m:r>
                            <m:rPr/>
                            <w:rPr>
                              <w:rFonts w:ascii="Cambria Math" w:hAnsi="Cambria Math" w:eastAsia="Malgun Gothic"/>
                              <w:szCs w:val="20"/>
                              <w:lang w:val="en-GB" w:eastAsia="ja-JP"/>
                            </w:rPr>
                            <m:t>r</m:t>
                          </m:r>
                          <m:ctrlPr>
                            <w:rPr>
                              <w:rFonts w:ascii="Cambria Math" w:hAnsi="Cambria Math" w:eastAsia="Malgun Gothic"/>
                              <w:i/>
                              <w:szCs w:val="20"/>
                              <w:lang w:val="en-GB" w:eastAsia="ja-JP"/>
                            </w:rPr>
                          </m:ctrlPr>
                        </m:e>
                        <m:sub>
                          <m:r>
                            <m:rPr/>
                            <w:rPr>
                              <w:rFonts w:ascii="Cambria Math" w:hAnsi="Cambria Math" w:eastAsia="Malgun Gothic"/>
                              <w:szCs w:val="20"/>
                              <w:lang w:val="en-GB" w:eastAsia="ja-JP"/>
                            </w:rPr>
                            <m:t>i</m:t>
                          </m:r>
                          <m:ctrlPr>
                            <w:rPr>
                              <w:rFonts w:ascii="Cambria Math" w:hAnsi="Cambria Math" w:eastAsia="Malgun Gothic"/>
                              <w:i/>
                              <w:szCs w:val="20"/>
                              <w:lang w:val="en-GB" w:eastAsia="ja-JP"/>
                            </w:rPr>
                          </m:ctrlPr>
                        </m:sub>
                      </m:sSub>
                      <m:ctrlPr>
                        <w:rPr>
                          <w:rFonts w:ascii="Cambria Math" w:hAnsi="Cambria Math" w:eastAsia="Malgun Gothic"/>
                          <w:i/>
                          <w:szCs w:val="20"/>
                          <w:lang w:val="en-GB" w:eastAsia="ja-JP"/>
                        </w:rPr>
                      </m:ctrlPr>
                    </m:den>
                  </m:f>
                  <m:ctrlPr>
                    <w:rPr>
                      <w:rFonts w:ascii="Cambria Math" w:hAnsi="Cambria Math" w:eastAsia="Malgun Gothic"/>
                      <w:i/>
                      <w:szCs w:val="20"/>
                      <w:lang w:val="en-GB" w:eastAsia="ja-JP"/>
                    </w:rPr>
                  </m:ctrlPr>
                </m:e>
              </m:d>
            </m:oMath>
            <w:r>
              <w:rPr>
                <w:rFonts w:eastAsia="Malgun Gothic"/>
                <w:szCs w:val="20"/>
                <w:lang w:val="en-GB" w:eastAsia="ja-JP"/>
              </w:rPr>
              <w:t xml:space="preserve">, where unit scaling factor “1” is associated with the PDSCH-to-CSIRS EPRE offset “portion” contributed by </w:t>
            </w:r>
            <w:r>
              <w:rPr>
                <w:rFonts w:eastAsia="Malgun Gothic"/>
                <w:iCs/>
                <w:szCs w:val="20"/>
                <w:lang w:val="en-GB" w:eastAsia="ja-JP"/>
              </w:rPr>
              <w:t xml:space="preserve">the </w:t>
            </w:r>
            <m:oMath>
              <m:sSup>
                <m:sSupPr>
                  <m:ctrlPr>
                    <w:rPr>
                      <w:rFonts w:ascii="Cambria Math" w:hAnsi="Cambria Math" w:eastAsia="Malgun Gothic"/>
                      <w:i/>
                      <w:iCs/>
                      <w:szCs w:val="20"/>
                      <w:lang w:val="en-GB" w:eastAsia="ja-JP"/>
                    </w:rPr>
                  </m:ctrlPr>
                </m:sSupPr>
                <m:e>
                  <m:r>
                    <m:rPr/>
                    <w:rPr>
                      <w:rFonts w:ascii="Cambria Math" w:hAnsi="Cambria Math" w:eastAsia="Malgun Gothic"/>
                      <w:szCs w:val="20"/>
                      <w:lang w:val="en-GB" w:eastAsia="ja-JP"/>
                    </w:rPr>
                    <m:t>i</m:t>
                  </m:r>
                  <m:ctrlPr>
                    <w:rPr>
                      <w:rFonts w:ascii="Cambria Math" w:hAnsi="Cambria Math" w:eastAsia="Malgun Gothic"/>
                      <w:i/>
                      <w:iCs/>
                      <w:szCs w:val="20"/>
                      <w:lang w:val="en-GB" w:eastAsia="ja-JP"/>
                    </w:rPr>
                  </m:ctrlPr>
                </m:e>
                <m:sup>
                  <m:r>
                    <m:rPr/>
                    <w:rPr>
                      <w:rFonts w:ascii="Cambria Math" w:hAnsi="Cambria Math" w:eastAsia="Malgun Gothic"/>
                      <w:szCs w:val="20"/>
                      <w:lang w:val="en-GB" w:eastAsia="ja-JP"/>
                    </w:rPr>
                    <m:t>tℎ</m:t>
                  </m:r>
                  <m:ctrlPr>
                    <w:rPr>
                      <w:rFonts w:ascii="Cambria Math" w:hAnsi="Cambria Math" w:eastAsia="Malgun Gothic"/>
                      <w:i/>
                      <w:iCs/>
                      <w:szCs w:val="20"/>
                      <w:lang w:val="en-GB" w:eastAsia="ja-JP"/>
                    </w:rPr>
                  </m:ctrlPr>
                </m:sup>
              </m:sSup>
            </m:oMath>
            <w:r>
              <w:rPr>
                <w:rFonts w:eastAsia="Malgun Gothic"/>
                <w:iCs/>
                <w:szCs w:val="20"/>
                <w:lang w:val="en-GB" w:eastAsia="ja-JP"/>
              </w:rPr>
              <w:t xml:space="preserve"> selected SD basis vector without the 3-bit scaling factor </w:t>
            </w:r>
            <m:oMath>
              <m:sSub>
                <m:sSubPr>
                  <m:ctrlPr>
                    <w:rPr>
                      <w:rFonts w:ascii="Cambria Math" w:hAnsi="Cambria Math" w:eastAsia="Malgun Gothic"/>
                      <w:i/>
                      <w:szCs w:val="20"/>
                      <w:lang w:val="en-GB" w:eastAsia="ja-JP"/>
                    </w:rPr>
                  </m:ctrlPr>
                </m:sSubPr>
                <m:e>
                  <m:r>
                    <m:rPr/>
                    <w:rPr>
                      <w:rFonts w:ascii="Cambria Math" w:hAnsi="Cambria Math" w:eastAsia="Malgun Gothic"/>
                      <w:szCs w:val="20"/>
                      <w:lang w:val="en-GB" w:eastAsia="ja-JP"/>
                    </w:rPr>
                    <m:t>s</m:t>
                  </m:r>
                  <m:ctrlPr>
                    <w:rPr>
                      <w:rFonts w:ascii="Cambria Math" w:hAnsi="Cambria Math" w:eastAsia="Malgun Gothic"/>
                      <w:i/>
                      <w:szCs w:val="20"/>
                      <w:lang w:val="en-GB" w:eastAsia="ja-JP"/>
                    </w:rPr>
                  </m:ctrlPr>
                </m:e>
                <m:sub>
                  <m:r>
                    <m:rPr/>
                    <w:rPr>
                      <w:rFonts w:ascii="Cambria Math" w:hAnsi="Cambria Math" w:eastAsia="Malgun Gothic"/>
                      <w:szCs w:val="20"/>
                      <w:lang w:val="en-GB" w:eastAsia="ja-JP"/>
                    </w:rPr>
                    <m:t>i</m:t>
                  </m:r>
                  <m:ctrlPr>
                    <w:rPr>
                      <w:rFonts w:ascii="Cambria Math" w:hAnsi="Cambria Math" w:eastAsia="Malgun Gothic"/>
                      <w:i/>
                      <w:szCs w:val="20"/>
                      <w:lang w:val="en-GB" w:eastAsia="ja-JP"/>
                    </w:rPr>
                  </m:ctrlPr>
                </m:sub>
              </m:sSub>
            </m:oMath>
            <w:r>
              <w:rPr>
                <w:rFonts w:eastAsia="Malgun Gothic"/>
                <w:iCs/>
                <w:szCs w:val="20"/>
                <w:lang w:val="en-GB" w:eastAsia="ja-JP"/>
              </w:rPr>
              <w:t xml:space="preserve"> configured</w:t>
            </w:r>
            <w:r>
              <w:rPr>
                <w:rFonts w:eastAsia="Malgun Gothic"/>
                <w:szCs w:val="20"/>
                <w:lang w:val="en-GB" w:eastAsia="ja-JP"/>
              </w:rPr>
              <w:t xml:space="preserve">, e.g. </w:t>
            </w:r>
            <m:oMath>
              <m:sSub>
                <m:sSubPr>
                  <m:ctrlPr>
                    <w:rPr>
                      <w:rFonts w:ascii="Cambria Math" w:hAnsi="Cambria Math" w:eastAsia="Malgun Gothic"/>
                      <w:i/>
                      <w:szCs w:val="20"/>
                      <w:lang w:val="en-GB" w:eastAsia="ja-JP"/>
                    </w:rPr>
                  </m:ctrlPr>
                </m:sSubPr>
                <m:e>
                  <m:r>
                    <m:rPr/>
                    <w:rPr>
                      <w:rFonts w:ascii="Cambria Math" w:hAnsi="Cambria Math" w:eastAsia="Malgun Gothic"/>
                      <w:szCs w:val="20"/>
                      <w:lang w:val="en-GB" w:eastAsia="ja-JP"/>
                    </w:rPr>
                    <m:t>s</m:t>
                  </m:r>
                  <m:ctrlPr>
                    <w:rPr>
                      <w:rFonts w:ascii="Cambria Math" w:hAnsi="Cambria Math" w:eastAsia="Malgun Gothic"/>
                      <w:i/>
                      <w:szCs w:val="20"/>
                      <w:lang w:val="en-GB" w:eastAsia="ja-JP"/>
                    </w:rPr>
                  </m:ctrlPr>
                </m:e>
                <m:sub>
                  <m:r>
                    <m:rPr/>
                    <w:rPr>
                      <w:rFonts w:ascii="Cambria Math" w:hAnsi="Cambria Math" w:eastAsia="Malgun Gothic"/>
                      <w:szCs w:val="20"/>
                      <w:lang w:val="en-GB" w:eastAsia="ja-JP"/>
                    </w:rPr>
                    <m:t>i</m:t>
                  </m:r>
                  <m:ctrlPr>
                    <w:rPr>
                      <w:rFonts w:ascii="Cambria Math" w:hAnsi="Cambria Math" w:eastAsia="Malgun Gothic"/>
                      <w:i/>
                      <w:szCs w:val="20"/>
                      <w:lang w:val="en-GB" w:eastAsia="ja-JP"/>
                    </w:rPr>
                  </m:ctrlPr>
                </m:sub>
              </m:sSub>
              <m:r>
                <m:rPr/>
                <w:rPr>
                  <w:rFonts w:ascii="Cambria Math" w:hAnsi="Cambria Math" w:eastAsia="Malgun Gothic"/>
                  <w:szCs w:val="20"/>
                  <w:lang w:val="en-GB" w:eastAsia="ja-JP"/>
                </w:rPr>
                <m:t>∈</m:t>
              </m:r>
              <m:d>
                <m:dPr>
                  <m:begChr m:val="{"/>
                  <m:endChr m:val="}"/>
                  <m:ctrlPr>
                    <w:rPr>
                      <w:rFonts w:ascii="Cambria Math" w:hAnsi="Cambria Math" w:eastAsia="Batang"/>
                      <w:i/>
                      <w:iCs/>
                      <w:szCs w:val="20"/>
                      <w:lang w:val="en-GB" w:eastAsia="en-US"/>
                    </w:rPr>
                  </m:ctrlPr>
                </m:dPr>
                <m:e>
                  <m:rad>
                    <m:radPr>
                      <m:degHide m:val="1"/>
                      <m:ctrlPr>
                        <w:rPr>
                          <w:rFonts w:ascii="Cambria Math" w:hAnsi="Cambria Math" w:eastAsia="Batang"/>
                          <w:i/>
                          <w:iCs/>
                          <w:szCs w:val="20"/>
                          <w:lang w:val="en-GB" w:eastAsia="en-US"/>
                        </w:rPr>
                      </m:ctrlPr>
                    </m:radPr>
                    <m:deg>
                      <m:ctrlPr>
                        <w:rPr>
                          <w:rFonts w:ascii="Cambria Math" w:hAnsi="Cambria Math" w:eastAsia="Batang"/>
                          <w:i/>
                          <w:iCs/>
                          <w:szCs w:val="20"/>
                          <w:lang w:val="en-GB" w:eastAsia="en-US"/>
                        </w:rPr>
                      </m:ctrlPr>
                    </m:deg>
                    <m:e>
                      <m:r>
                        <m:rPr/>
                        <w:rPr>
                          <w:rFonts w:ascii="Cambria Math" w:hAnsi="Cambria Math" w:eastAsia="Batang"/>
                          <w:szCs w:val="20"/>
                          <w:lang w:val="en-GB" w:eastAsia="en-US"/>
                        </w:rPr>
                        <m:t>1</m:t>
                      </m:r>
                      <m:ctrlPr>
                        <w:rPr>
                          <w:rFonts w:ascii="Cambria Math" w:hAnsi="Cambria Math" w:eastAsia="Batang"/>
                          <w:i/>
                          <w:iCs/>
                          <w:szCs w:val="20"/>
                          <w:lang w:val="en-GB" w:eastAsia="en-US"/>
                        </w:rPr>
                      </m:ctrlPr>
                    </m:e>
                  </m:rad>
                  <m:r>
                    <m:rPr>
                      <m:sty m:val="p"/>
                    </m:rPr>
                    <w:rPr>
                      <w:rFonts w:ascii="Cambria Math" w:hAnsi="Cambria Math" w:eastAsia="Batang"/>
                      <w:szCs w:val="20"/>
                      <w:lang w:val="en-GB" w:eastAsia="en-US"/>
                    </w:rPr>
                    <m:t>, </m:t>
                  </m:r>
                  <m:rad>
                    <m:radPr>
                      <m:degHide m:val="1"/>
                      <m:ctrlPr>
                        <w:rPr>
                          <w:rFonts w:ascii="Cambria Math" w:hAnsi="Cambria Math" w:eastAsia="Batang"/>
                          <w:i/>
                          <w:iCs/>
                          <w:szCs w:val="20"/>
                          <w:lang w:val="en-GB" w:eastAsia="en-US"/>
                        </w:rPr>
                      </m:ctrlPr>
                    </m:radPr>
                    <m:deg>
                      <m:ctrlPr>
                        <w:rPr>
                          <w:rFonts w:ascii="Cambria Math" w:hAnsi="Cambria Math" w:eastAsia="Batang"/>
                          <w:i/>
                          <w:iCs/>
                          <w:szCs w:val="20"/>
                          <w:lang w:val="en-GB" w:eastAsia="en-US"/>
                        </w:rPr>
                      </m:ctrlPr>
                    </m:deg>
                    <m:e>
                      <m:f>
                        <m:fPr>
                          <m:ctrlPr>
                            <w:rPr>
                              <w:rFonts w:ascii="Cambria Math" w:hAnsi="Cambria Math" w:eastAsia="Batang"/>
                              <w:i/>
                              <w:szCs w:val="20"/>
                              <w:lang w:val="en-GB" w:eastAsia="en-US"/>
                            </w:rPr>
                          </m:ctrlPr>
                        </m:fPr>
                        <m:num>
                          <m:r>
                            <m:rPr/>
                            <w:rPr>
                              <w:rFonts w:ascii="Cambria Math" w:hAnsi="Cambria Math" w:eastAsia="Batang"/>
                              <w:szCs w:val="20"/>
                              <w:lang w:val="en-GB" w:eastAsia="en-US"/>
                            </w:rPr>
                            <m:t>1</m:t>
                          </m:r>
                          <m:ctrlPr>
                            <w:rPr>
                              <w:rFonts w:ascii="Cambria Math" w:hAnsi="Cambria Math" w:eastAsia="Batang"/>
                              <w:i/>
                              <w:szCs w:val="20"/>
                              <w:lang w:val="en-GB" w:eastAsia="en-US"/>
                            </w:rPr>
                          </m:ctrlPr>
                        </m:num>
                        <m:den>
                          <m:r>
                            <m:rPr/>
                            <w:rPr>
                              <w:rFonts w:ascii="Cambria Math" w:hAnsi="Cambria Math" w:eastAsia="Batang"/>
                              <w:szCs w:val="20"/>
                              <w:lang w:val="en-GB" w:eastAsia="en-US"/>
                            </w:rPr>
                            <m:t>2</m:t>
                          </m:r>
                          <m:ctrlPr>
                            <w:rPr>
                              <w:rFonts w:ascii="Cambria Math" w:hAnsi="Cambria Math" w:eastAsia="Batang"/>
                              <w:i/>
                              <w:szCs w:val="20"/>
                              <w:lang w:val="en-GB" w:eastAsia="en-US"/>
                            </w:rPr>
                          </m:ctrlPr>
                        </m:den>
                      </m:f>
                      <m:ctrlPr>
                        <w:rPr>
                          <w:rFonts w:ascii="Cambria Math" w:hAnsi="Cambria Math" w:eastAsia="Batang"/>
                          <w:i/>
                          <w:iCs/>
                          <w:szCs w:val="20"/>
                          <w:lang w:val="en-GB" w:eastAsia="en-US"/>
                        </w:rPr>
                      </m:ctrlPr>
                    </m:e>
                  </m:rad>
                  <m:r>
                    <m:rPr>
                      <m:sty m:val="p"/>
                    </m:rPr>
                    <w:rPr>
                      <w:rFonts w:ascii="Cambria Math" w:hAnsi="Cambria Math" w:eastAsia="Batang"/>
                      <w:szCs w:val="20"/>
                      <w:lang w:val="en-GB" w:eastAsia="en-US"/>
                    </w:rPr>
                    <m:t>, </m:t>
                  </m:r>
                  <m:rad>
                    <m:radPr>
                      <m:degHide m:val="1"/>
                      <m:ctrlPr>
                        <w:rPr>
                          <w:rFonts w:ascii="Cambria Math" w:hAnsi="Cambria Math" w:eastAsia="Batang"/>
                          <w:i/>
                          <w:iCs/>
                          <w:szCs w:val="20"/>
                          <w:lang w:val="en-GB" w:eastAsia="en-US"/>
                        </w:rPr>
                      </m:ctrlPr>
                    </m:radPr>
                    <m:deg>
                      <m:ctrlPr>
                        <w:rPr>
                          <w:rFonts w:ascii="Cambria Math" w:hAnsi="Cambria Math" w:eastAsia="Batang"/>
                          <w:i/>
                          <w:iCs/>
                          <w:szCs w:val="20"/>
                          <w:lang w:val="en-GB" w:eastAsia="en-US"/>
                        </w:rPr>
                      </m:ctrlPr>
                    </m:deg>
                    <m:e>
                      <m:f>
                        <m:fPr>
                          <m:ctrlPr>
                            <w:rPr>
                              <w:rFonts w:ascii="Cambria Math" w:hAnsi="Cambria Math" w:eastAsia="Batang"/>
                              <w:i/>
                              <w:szCs w:val="20"/>
                              <w:lang w:val="en-GB" w:eastAsia="en-US"/>
                            </w:rPr>
                          </m:ctrlPr>
                        </m:fPr>
                        <m:num>
                          <m:r>
                            <m:rPr/>
                            <w:rPr>
                              <w:rFonts w:ascii="Cambria Math" w:hAnsi="Cambria Math" w:eastAsia="Batang"/>
                              <w:szCs w:val="20"/>
                              <w:lang w:val="en-GB" w:eastAsia="en-US"/>
                            </w:rPr>
                            <m:t>1</m:t>
                          </m:r>
                          <m:ctrlPr>
                            <w:rPr>
                              <w:rFonts w:ascii="Cambria Math" w:hAnsi="Cambria Math" w:eastAsia="Batang"/>
                              <w:i/>
                              <w:szCs w:val="20"/>
                              <w:lang w:val="en-GB" w:eastAsia="en-US"/>
                            </w:rPr>
                          </m:ctrlPr>
                        </m:num>
                        <m:den>
                          <m:r>
                            <m:rPr/>
                            <w:rPr>
                              <w:rFonts w:ascii="Cambria Math" w:hAnsi="Cambria Math" w:eastAsia="Batang"/>
                              <w:szCs w:val="20"/>
                              <w:lang w:val="en-GB" w:eastAsia="en-US"/>
                            </w:rPr>
                            <m:t>3</m:t>
                          </m:r>
                          <m:ctrlPr>
                            <w:rPr>
                              <w:rFonts w:ascii="Cambria Math" w:hAnsi="Cambria Math" w:eastAsia="Batang"/>
                              <w:i/>
                              <w:szCs w:val="20"/>
                              <w:lang w:val="en-GB" w:eastAsia="en-US"/>
                            </w:rPr>
                          </m:ctrlPr>
                        </m:den>
                      </m:f>
                      <m:ctrlPr>
                        <w:rPr>
                          <w:rFonts w:ascii="Cambria Math" w:hAnsi="Cambria Math" w:eastAsia="Batang"/>
                          <w:i/>
                          <w:iCs/>
                          <w:szCs w:val="20"/>
                          <w:lang w:val="en-GB" w:eastAsia="en-US"/>
                        </w:rPr>
                      </m:ctrlPr>
                    </m:e>
                  </m:rad>
                  <m:r>
                    <m:rPr>
                      <m:sty m:val="p"/>
                    </m:rPr>
                    <w:rPr>
                      <w:rFonts w:ascii="Cambria Math" w:hAnsi="Cambria Math" w:eastAsia="Batang"/>
                      <w:szCs w:val="20"/>
                      <w:lang w:val="en-GB" w:eastAsia="en-US"/>
                    </w:rPr>
                    <m:t> ,</m:t>
                  </m:r>
                  <m:rad>
                    <m:radPr>
                      <m:degHide m:val="1"/>
                      <m:ctrlPr>
                        <w:rPr>
                          <w:rFonts w:ascii="Cambria Math" w:hAnsi="Cambria Math" w:eastAsia="Batang"/>
                          <w:i/>
                          <w:iCs/>
                          <w:szCs w:val="20"/>
                          <w:lang w:val="en-GB" w:eastAsia="en-US"/>
                        </w:rPr>
                      </m:ctrlPr>
                    </m:radPr>
                    <m:deg>
                      <m:ctrlPr>
                        <w:rPr>
                          <w:rFonts w:ascii="Cambria Math" w:hAnsi="Cambria Math" w:eastAsia="Batang"/>
                          <w:i/>
                          <w:iCs/>
                          <w:szCs w:val="20"/>
                          <w:lang w:val="en-GB" w:eastAsia="en-US"/>
                        </w:rPr>
                      </m:ctrlPr>
                    </m:deg>
                    <m:e>
                      <m:f>
                        <m:fPr>
                          <m:ctrlPr>
                            <w:rPr>
                              <w:rFonts w:ascii="Cambria Math" w:hAnsi="Cambria Math" w:eastAsia="Batang"/>
                              <w:i/>
                              <w:szCs w:val="20"/>
                              <w:lang w:val="en-GB" w:eastAsia="en-US"/>
                            </w:rPr>
                          </m:ctrlPr>
                        </m:fPr>
                        <m:num>
                          <m:r>
                            <m:rPr/>
                            <w:rPr>
                              <w:rFonts w:ascii="Cambria Math" w:hAnsi="Cambria Math" w:eastAsia="Batang"/>
                              <w:szCs w:val="20"/>
                              <w:lang w:val="en-GB" w:eastAsia="en-US"/>
                            </w:rPr>
                            <m:t>1</m:t>
                          </m:r>
                          <m:ctrlPr>
                            <w:rPr>
                              <w:rFonts w:ascii="Cambria Math" w:hAnsi="Cambria Math" w:eastAsia="Batang"/>
                              <w:i/>
                              <w:szCs w:val="20"/>
                              <w:lang w:val="en-GB" w:eastAsia="en-US"/>
                            </w:rPr>
                          </m:ctrlPr>
                        </m:num>
                        <m:den>
                          <m:r>
                            <m:rPr/>
                            <w:rPr>
                              <w:rFonts w:ascii="Cambria Math" w:hAnsi="Cambria Math" w:eastAsia="Batang"/>
                              <w:szCs w:val="20"/>
                              <w:lang w:val="en-GB" w:eastAsia="en-US"/>
                            </w:rPr>
                            <m:t>4</m:t>
                          </m:r>
                          <m:ctrlPr>
                            <w:rPr>
                              <w:rFonts w:ascii="Cambria Math" w:hAnsi="Cambria Math" w:eastAsia="Batang"/>
                              <w:i/>
                              <w:szCs w:val="20"/>
                              <w:lang w:val="en-GB" w:eastAsia="en-US"/>
                            </w:rPr>
                          </m:ctrlPr>
                        </m:den>
                      </m:f>
                      <m:ctrlPr>
                        <w:rPr>
                          <w:rFonts w:ascii="Cambria Math" w:hAnsi="Cambria Math" w:eastAsia="Batang"/>
                          <w:i/>
                          <w:iCs/>
                          <w:szCs w:val="20"/>
                          <w:lang w:val="en-GB" w:eastAsia="en-US"/>
                        </w:rPr>
                      </m:ctrlPr>
                    </m:e>
                  </m:rad>
                  <m:r>
                    <m:rPr>
                      <m:sty m:val="p"/>
                    </m:rPr>
                    <w:rPr>
                      <w:rFonts w:ascii="Cambria Math" w:hAnsi="Cambria Math" w:eastAsia="Batang"/>
                      <w:szCs w:val="20"/>
                      <w:lang w:val="en-GB" w:eastAsia="en-US"/>
                    </w:rPr>
                    <m:t>,</m:t>
                  </m:r>
                  <m:rad>
                    <m:radPr>
                      <m:degHide m:val="1"/>
                      <m:ctrlPr>
                        <w:rPr>
                          <w:rFonts w:ascii="Cambria Math" w:hAnsi="Cambria Math" w:eastAsia="Batang"/>
                          <w:i/>
                          <w:iCs/>
                          <w:szCs w:val="20"/>
                          <w:lang w:val="en-GB" w:eastAsia="en-US"/>
                        </w:rPr>
                      </m:ctrlPr>
                    </m:radPr>
                    <m:deg>
                      <m:ctrlPr>
                        <w:rPr>
                          <w:rFonts w:ascii="Cambria Math" w:hAnsi="Cambria Math" w:eastAsia="Batang"/>
                          <w:i/>
                          <w:iCs/>
                          <w:szCs w:val="20"/>
                          <w:lang w:val="en-GB" w:eastAsia="en-US"/>
                        </w:rPr>
                      </m:ctrlPr>
                    </m:deg>
                    <m:e>
                      <m:f>
                        <m:fPr>
                          <m:ctrlPr>
                            <w:rPr>
                              <w:rFonts w:ascii="Cambria Math" w:hAnsi="Cambria Math" w:eastAsia="Batang"/>
                              <w:i/>
                              <w:szCs w:val="20"/>
                              <w:lang w:val="en-GB" w:eastAsia="en-US"/>
                            </w:rPr>
                          </m:ctrlPr>
                        </m:fPr>
                        <m:num>
                          <m:r>
                            <m:rPr/>
                            <w:rPr>
                              <w:rFonts w:ascii="Cambria Math" w:hAnsi="Cambria Math" w:eastAsia="Batang"/>
                              <w:szCs w:val="20"/>
                              <w:lang w:val="en-GB" w:eastAsia="en-US"/>
                            </w:rPr>
                            <m:t>1</m:t>
                          </m:r>
                          <m:ctrlPr>
                            <w:rPr>
                              <w:rFonts w:ascii="Cambria Math" w:hAnsi="Cambria Math" w:eastAsia="Batang"/>
                              <w:i/>
                              <w:szCs w:val="20"/>
                              <w:lang w:val="en-GB" w:eastAsia="en-US"/>
                            </w:rPr>
                          </m:ctrlPr>
                        </m:num>
                        <m:den>
                          <m:r>
                            <m:rPr/>
                            <w:rPr>
                              <w:rFonts w:ascii="Cambria Math" w:hAnsi="Cambria Math" w:eastAsia="Batang"/>
                              <w:szCs w:val="20"/>
                              <w:lang w:val="en-GB" w:eastAsia="en-US"/>
                            </w:rPr>
                            <m:t>6</m:t>
                          </m:r>
                          <m:ctrlPr>
                            <w:rPr>
                              <w:rFonts w:ascii="Cambria Math" w:hAnsi="Cambria Math" w:eastAsia="Batang"/>
                              <w:i/>
                              <w:szCs w:val="20"/>
                              <w:lang w:val="en-GB" w:eastAsia="en-US"/>
                            </w:rPr>
                          </m:ctrlPr>
                        </m:den>
                      </m:f>
                      <m:ctrlPr>
                        <w:rPr>
                          <w:rFonts w:ascii="Cambria Math" w:hAnsi="Cambria Math" w:eastAsia="Batang"/>
                          <w:i/>
                          <w:iCs/>
                          <w:szCs w:val="20"/>
                          <w:lang w:val="en-GB" w:eastAsia="en-US"/>
                        </w:rPr>
                      </m:ctrlPr>
                    </m:e>
                  </m:rad>
                  <m:r>
                    <m:rPr>
                      <m:sty m:val="p"/>
                    </m:rPr>
                    <w:rPr>
                      <w:rFonts w:ascii="Cambria Math" w:hAnsi="Cambria Math" w:eastAsia="Batang"/>
                      <w:szCs w:val="20"/>
                      <w:lang w:val="en-GB" w:eastAsia="en-US"/>
                    </w:rPr>
                    <m:t>,</m:t>
                  </m:r>
                  <m:rad>
                    <m:radPr>
                      <m:degHide m:val="1"/>
                      <m:ctrlPr>
                        <w:rPr>
                          <w:rFonts w:ascii="Cambria Math" w:hAnsi="Cambria Math" w:eastAsia="Batang"/>
                          <w:i/>
                          <w:iCs/>
                          <w:szCs w:val="20"/>
                          <w:lang w:val="en-GB" w:eastAsia="en-US"/>
                        </w:rPr>
                      </m:ctrlPr>
                    </m:radPr>
                    <m:deg>
                      <m:ctrlPr>
                        <w:rPr>
                          <w:rFonts w:ascii="Cambria Math" w:hAnsi="Cambria Math" w:eastAsia="Batang"/>
                          <w:i/>
                          <w:iCs/>
                          <w:szCs w:val="20"/>
                          <w:lang w:val="en-GB" w:eastAsia="en-US"/>
                        </w:rPr>
                      </m:ctrlPr>
                    </m:deg>
                    <m:e>
                      <m:f>
                        <m:fPr>
                          <m:ctrlPr>
                            <w:rPr>
                              <w:rFonts w:ascii="Cambria Math" w:hAnsi="Cambria Math" w:eastAsia="Batang"/>
                              <w:i/>
                              <w:szCs w:val="20"/>
                              <w:lang w:val="en-GB" w:eastAsia="en-US"/>
                            </w:rPr>
                          </m:ctrlPr>
                        </m:fPr>
                        <m:num>
                          <m:r>
                            <m:rPr/>
                            <w:rPr>
                              <w:rFonts w:ascii="Cambria Math" w:hAnsi="Cambria Math" w:eastAsia="Batang"/>
                              <w:szCs w:val="20"/>
                              <w:lang w:val="en-GB" w:eastAsia="en-US"/>
                            </w:rPr>
                            <m:t>1</m:t>
                          </m:r>
                          <m:ctrlPr>
                            <w:rPr>
                              <w:rFonts w:ascii="Cambria Math" w:hAnsi="Cambria Math" w:eastAsia="Batang"/>
                              <w:i/>
                              <w:szCs w:val="20"/>
                              <w:lang w:val="en-GB" w:eastAsia="en-US"/>
                            </w:rPr>
                          </m:ctrlPr>
                        </m:num>
                        <m:den>
                          <m:r>
                            <m:rPr/>
                            <w:rPr>
                              <w:rFonts w:ascii="Cambria Math" w:hAnsi="Cambria Math" w:eastAsia="Batang"/>
                              <w:szCs w:val="20"/>
                              <w:lang w:val="en-GB" w:eastAsia="en-US"/>
                            </w:rPr>
                            <m:t>8</m:t>
                          </m:r>
                          <m:ctrlPr>
                            <w:rPr>
                              <w:rFonts w:ascii="Cambria Math" w:hAnsi="Cambria Math" w:eastAsia="Batang"/>
                              <w:i/>
                              <w:szCs w:val="20"/>
                              <w:lang w:val="en-GB" w:eastAsia="en-US"/>
                            </w:rPr>
                          </m:ctrlPr>
                        </m:den>
                      </m:f>
                      <m:ctrlPr>
                        <w:rPr>
                          <w:rFonts w:ascii="Cambria Math" w:hAnsi="Cambria Math" w:eastAsia="Batang"/>
                          <w:i/>
                          <w:iCs/>
                          <w:szCs w:val="20"/>
                          <w:lang w:val="en-GB" w:eastAsia="en-US"/>
                        </w:rPr>
                      </m:ctrlPr>
                    </m:e>
                  </m:rad>
                  <m:r>
                    <m:rPr>
                      <m:sty m:val="p"/>
                    </m:rPr>
                    <w:rPr>
                      <w:rFonts w:ascii="Cambria Math" w:hAnsi="Cambria Math" w:eastAsia="Batang"/>
                      <w:szCs w:val="20"/>
                      <w:lang w:val="en-GB" w:eastAsia="en-US"/>
                    </w:rPr>
                    <m:t>,</m:t>
                  </m:r>
                  <m:rad>
                    <m:radPr>
                      <m:degHide m:val="1"/>
                      <m:ctrlPr>
                        <w:rPr>
                          <w:rFonts w:ascii="Cambria Math" w:hAnsi="Cambria Math" w:eastAsia="Batang"/>
                          <w:i/>
                          <w:iCs/>
                          <w:szCs w:val="20"/>
                          <w:lang w:val="en-GB" w:eastAsia="en-US"/>
                        </w:rPr>
                      </m:ctrlPr>
                    </m:radPr>
                    <m:deg>
                      <m:ctrlPr>
                        <w:rPr>
                          <w:rFonts w:ascii="Cambria Math" w:hAnsi="Cambria Math" w:eastAsia="Batang"/>
                          <w:i/>
                          <w:iCs/>
                          <w:szCs w:val="20"/>
                          <w:lang w:val="en-GB" w:eastAsia="en-US"/>
                        </w:rPr>
                      </m:ctrlPr>
                    </m:deg>
                    <m:e>
                      <m:f>
                        <m:fPr>
                          <m:ctrlPr>
                            <w:rPr>
                              <w:rFonts w:ascii="Cambria Math" w:hAnsi="Cambria Math" w:eastAsia="Batang"/>
                              <w:i/>
                              <w:szCs w:val="20"/>
                              <w:lang w:val="en-GB" w:eastAsia="en-US"/>
                            </w:rPr>
                          </m:ctrlPr>
                        </m:fPr>
                        <m:num>
                          <m:r>
                            <m:rPr/>
                            <w:rPr>
                              <w:rFonts w:ascii="Cambria Math" w:hAnsi="Cambria Math" w:eastAsia="Batang"/>
                              <w:szCs w:val="20"/>
                              <w:lang w:val="en-GB" w:eastAsia="en-US"/>
                            </w:rPr>
                            <m:t>1</m:t>
                          </m:r>
                          <m:ctrlPr>
                            <w:rPr>
                              <w:rFonts w:ascii="Cambria Math" w:hAnsi="Cambria Math" w:eastAsia="Batang"/>
                              <w:i/>
                              <w:szCs w:val="20"/>
                              <w:lang w:val="en-GB" w:eastAsia="en-US"/>
                            </w:rPr>
                          </m:ctrlPr>
                        </m:num>
                        <m:den>
                          <m:r>
                            <m:rPr/>
                            <w:rPr>
                              <w:rFonts w:ascii="Cambria Math" w:hAnsi="Cambria Math" w:eastAsia="Batang"/>
                              <w:szCs w:val="20"/>
                              <w:lang w:val="en-GB" w:eastAsia="en-US"/>
                            </w:rPr>
                            <m:t>12</m:t>
                          </m:r>
                          <m:ctrlPr>
                            <w:rPr>
                              <w:rFonts w:ascii="Cambria Math" w:hAnsi="Cambria Math" w:eastAsia="Batang"/>
                              <w:i/>
                              <w:szCs w:val="20"/>
                              <w:lang w:val="en-GB" w:eastAsia="en-US"/>
                            </w:rPr>
                          </m:ctrlPr>
                        </m:den>
                      </m:f>
                      <m:ctrlPr>
                        <w:rPr>
                          <w:rFonts w:ascii="Cambria Math" w:hAnsi="Cambria Math" w:eastAsia="Batang"/>
                          <w:i/>
                          <w:iCs/>
                          <w:szCs w:val="20"/>
                          <w:lang w:val="en-GB" w:eastAsia="en-US"/>
                        </w:rPr>
                      </m:ctrlPr>
                    </m:e>
                  </m:rad>
                  <m:r>
                    <m:rPr>
                      <m:sty m:val="p"/>
                    </m:rPr>
                    <w:rPr>
                      <w:rFonts w:ascii="Cambria Math" w:hAnsi="Cambria Math" w:eastAsia="Batang"/>
                      <w:szCs w:val="20"/>
                      <w:lang w:val="en-GB" w:eastAsia="en-US"/>
                    </w:rPr>
                    <m:t>,</m:t>
                  </m:r>
                  <m:rad>
                    <m:radPr>
                      <m:degHide m:val="1"/>
                      <m:ctrlPr>
                        <w:rPr>
                          <w:rFonts w:ascii="Cambria Math" w:hAnsi="Cambria Math" w:eastAsia="Batang"/>
                          <w:i/>
                          <w:iCs/>
                          <w:szCs w:val="20"/>
                          <w:lang w:val="en-GB" w:eastAsia="en-US"/>
                        </w:rPr>
                      </m:ctrlPr>
                    </m:radPr>
                    <m:deg>
                      <m:ctrlPr>
                        <w:rPr>
                          <w:rFonts w:ascii="Cambria Math" w:hAnsi="Cambria Math" w:eastAsia="Batang"/>
                          <w:i/>
                          <w:iCs/>
                          <w:szCs w:val="20"/>
                          <w:lang w:val="en-GB" w:eastAsia="en-US"/>
                        </w:rPr>
                      </m:ctrlPr>
                    </m:deg>
                    <m:e>
                      <m:f>
                        <m:fPr>
                          <m:ctrlPr>
                            <w:rPr>
                              <w:rFonts w:ascii="Cambria Math" w:hAnsi="Cambria Math" w:eastAsia="Batang"/>
                              <w:i/>
                              <w:szCs w:val="20"/>
                              <w:lang w:val="en-GB" w:eastAsia="en-US"/>
                            </w:rPr>
                          </m:ctrlPr>
                        </m:fPr>
                        <m:num>
                          <m:r>
                            <m:rPr/>
                            <w:rPr>
                              <w:rFonts w:ascii="Cambria Math" w:hAnsi="Cambria Math" w:eastAsia="Batang"/>
                              <w:szCs w:val="20"/>
                              <w:lang w:val="en-GB" w:eastAsia="en-US"/>
                            </w:rPr>
                            <m:t>1</m:t>
                          </m:r>
                          <m:ctrlPr>
                            <w:rPr>
                              <w:rFonts w:ascii="Cambria Math" w:hAnsi="Cambria Math" w:eastAsia="Batang"/>
                              <w:i/>
                              <w:szCs w:val="20"/>
                              <w:lang w:val="en-GB" w:eastAsia="en-US"/>
                            </w:rPr>
                          </m:ctrlPr>
                        </m:num>
                        <m:den>
                          <m:r>
                            <m:rPr/>
                            <w:rPr>
                              <w:rFonts w:ascii="Cambria Math" w:hAnsi="Cambria Math" w:eastAsia="Batang"/>
                              <w:szCs w:val="20"/>
                              <w:lang w:val="en-GB" w:eastAsia="en-US"/>
                            </w:rPr>
                            <m:t>16</m:t>
                          </m:r>
                          <m:ctrlPr>
                            <w:rPr>
                              <w:rFonts w:ascii="Cambria Math" w:hAnsi="Cambria Math" w:eastAsia="Batang"/>
                              <w:i/>
                              <w:szCs w:val="20"/>
                              <w:lang w:val="en-GB" w:eastAsia="en-US"/>
                            </w:rPr>
                          </m:ctrlPr>
                        </m:den>
                      </m:f>
                      <m:ctrlPr>
                        <w:rPr>
                          <w:rFonts w:ascii="Cambria Math" w:hAnsi="Cambria Math" w:eastAsia="Batang"/>
                          <w:i/>
                          <w:iCs/>
                          <w:szCs w:val="20"/>
                          <w:lang w:val="en-GB" w:eastAsia="en-US"/>
                        </w:rPr>
                      </m:ctrlPr>
                    </m:e>
                  </m:rad>
                  <m:ctrlPr>
                    <w:rPr>
                      <w:rFonts w:ascii="Cambria Math" w:hAnsi="Cambria Math" w:eastAsia="Batang"/>
                      <w:i/>
                      <w:iCs/>
                      <w:szCs w:val="20"/>
                      <w:lang w:val="en-GB" w:eastAsia="en-US"/>
                    </w:rPr>
                  </m:ctrlPr>
                </m:e>
              </m:d>
              <m:r>
                <m:rPr/>
                <w:rPr>
                  <w:rFonts w:ascii="Cambria Math" w:hAnsi="Cambria Math" w:eastAsia="Batang"/>
                  <w:szCs w:val="20"/>
                  <w:lang w:val="en-GB" w:eastAsia="en-US"/>
                </w:rPr>
                <m:t xml:space="preserve"> </m:t>
              </m:r>
            </m:oMath>
            <w:r>
              <w:rPr>
                <w:rFonts w:eastAsia="Malgun Gothic"/>
                <w:iCs/>
                <w:szCs w:val="20"/>
                <w:lang w:val="en-GB" w:eastAsia="en-US"/>
              </w:rPr>
              <w:t xml:space="preserve"> is the scaling factor associated with the </w:t>
            </w:r>
            <m:oMath>
              <m:sSup>
                <m:sSupPr>
                  <m:ctrlPr>
                    <w:rPr>
                      <w:rFonts w:ascii="Cambria Math" w:hAnsi="Cambria Math" w:eastAsia="Malgun Gothic"/>
                      <w:i/>
                      <w:iCs/>
                      <w:szCs w:val="20"/>
                      <w:lang w:val="en-GB" w:eastAsia="en-US"/>
                    </w:rPr>
                  </m:ctrlPr>
                </m:sSupPr>
                <m:e>
                  <m:r>
                    <m:rPr/>
                    <w:rPr>
                      <w:rFonts w:ascii="Cambria Math" w:hAnsi="Cambria Math" w:eastAsia="Malgun Gothic"/>
                      <w:szCs w:val="20"/>
                      <w:lang w:val="en-GB" w:eastAsia="en-US"/>
                    </w:rPr>
                    <m:t>i</m:t>
                  </m:r>
                  <m:ctrlPr>
                    <w:rPr>
                      <w:rFonts w:ascii="Cambria Math" w:hAnsi="Cambria Math" w:eastAsia="Malgun Gothic"/>
                      <w:i/>
                      <w:iCs/>
                      <w:szCs w:val="20"/>
                      <w:lang w:val="en-GB" w:eastAsia="en-US"/>
                    </w:rPr>
                  </m:ctrlPr>
                </m:e>
                <m:sup>
                  <m:r>
                    <m:rPr/>
                    <w:rPr>
                      <w:rFonts w:ascii="Cambria Math" w:hAnsi="Cambria Math" w:eastAsia="Malgun Gothic"/>
                      <w:szCs w:val="20"/>
                      <w:lang w:val="en-GB" w:eastAsia="en-US"/>
                    </w:rPr>
                    <m:t>tℎ</m:t>
                  </m:r>
                  <m:ctrlPr>
                    <w:rPr>
                      <w:rFonts w:ascii="Cambria Math" w:hAnsi="Cambria Math" w:eastAsia="Malgun Gothic"/>
                      <w:i/>
                      <w:iCs/>
                      <w:szCs w:val="20"/>
                      <w:lang w:val="en-GB" w:eastAsia="en-US"/>
                    </w:rPr>
                  </m:ctrlPr>
                </m:sup>
              </m:sSup>
            </m:oMath>
            <w:r>
              <w:rPr>
                <w:rFonts w:eastAsia="Malgun Gothic"/>
                <w:iCs/>
                <w:szCs w:val="20"/>
                <w:lang w:val="en-GB" w:eastAsia="en-US"/>
              </w:rPr>
              <w:t xml:space="preserve"> SD basis vector, and </w:t>
            </w:r>
            <m:oMath>
              <m:sSub>
                <m:sSubPr>
                  <m:ctrlPr>
                    <w:rPr>
                      <w:rFonts w:ascii="Cambria Math" w:hAnsi="Cambria Math" w:eastAsia="Malgun Gothic"/>
                      <w:i/>
                      <w:szCs w:val="20"/>
                      <w:lang w:val="en-GB" w:eastAsia="ja-JP"/>
                    </w:rPr>
                  </m:ctrlPr>
                </m:sSubPr>
                <m:e>
                  <m:r>
                    <m:rPr/>
                    <w:rPr>
                      <w:rFonts w:ascii="Cambria Math" w:hAnsi="Cambria Math" w:eastAsia="Malgun Gothic"/>
                      <w:szCs w:val="20"/>
                      <w:lang w:val="en-GB" w:eastAsia="ja-JP"/>
                    </w:rPr>
                    <m:t>r</m:t>
                  </m:r>
                  <m:ctrlPr>
                    <w:rPr>
                      <w:rFonts w:ascii="Cambria Math" w:hAnsi="Cambria Math" w:eastAsia="Malgun Gothic"/>
                      <w:i/>
                      <w:szCs w:val="20"/>
                      <w:lang w:val="en-GB" w:eastAsia="ja-JP"/>
                    </w:rPr>
                  </m:ctrlPr>
                </m:e>
                <m:sub>
                  <m:r>
                    <m:rPr/>
                    <w:rPr>
                      <w:rFonts w:ascii="Cambria Math" w:hAnsi="Cambria Math" w:eastAsia="Malgun Gothic"/>
                      <w:szCs w:val="20"/>
                      <w:lang w:val="en-GB" w:eastAsia="ja-JP"/>
                    </w:rPr>
                    <m:t>i</m:t>
                  </m:r>
                  <m:ctrlPr>
                    <w:rPr>
                      <w:rFonts w:ascii="Cambria Math" w:hAnsi="Cambria Math" w:eastAsia="Malgun Gothic"/>
                      <w:i/>
                      <w:szCs w:val="20"/>
                      <w:lang w:val="en-GB" w:eastAsia="ja-JP"/>
                    </w:rPr>
                  </m:ctrlPr>
                </m:sub>
              </m:sSub>
              <m:r>
                <m:rPr/>
                <w:rPr>
                  <w:rFonts w:ascii="Cambria Math" w:hAnsi="Cambria Math" w:eastAsia="Malgun Gothic"/>
                  <w:szCs w:val="20"/>
                  <w:lang w:val="en-GB" w:eastAsia="ja-JP"/>
                </w:rPr>
                <m:t>∈</m:t>
              </m:r>
              <m:d>
                <m:dPr>
                  <m:begChr m:val="{"/>
                  <m:endChr m:val="}"/>
                  <m:ctrlPr>
                    <w:rPr>
                      <w:rFonts w:ascii="Cambria Math" w:hAnsi="Cambria Math" w:eastAsia="Malgun Gothic"/>
                      <w:i/>
                      <w:szCs w:val="20"/>
                      <w:lang w:val="en-GB"/>
                    </w:rPr>
                  </m:ctrlPr>
                </m:dPr>
                <m:e>
                  <m:r>
                    <m:rPr/>
                    <w:rPr>
                      <w:rFonts w:ascii="Cambria Math" w:hAnsi="Cambria Math" w:eastAsia="Malgun Gothic"/>
                      <w:szCs w:val="20"/>
                      <w:lang w:val="en-GB"/>
                    </w:rPr>
                    <m:t>1,2</m:t>
                  </m:r>
                  <m:ctrlPr>
                    <w:rPr>
                      <w:rFonts w:ascii="Cambria Math" w:hAnsi="Cambria Math" w:eastAsia="Malgun Gothic"/>
                      <w:i/>
                      <w:szCs w:val="20"/>
                      <w:lang w:val="en-GB"/>
                    </w:rPr>
                  </m:ctrlPr>
                </m:e>
              </m:d>
            </m:oMath>
            <w:r>
              <w:rPr>
                <w:rFonts w:eastAsia="Malgun Gothic"/>
                <w:szCs w:val="20"/>
                <w:lang w:val="en-GB" w:eastAsia="ja-JP"/>
              </w:rPr>
              <w:t xml:space="preserve"> is the number of layers transmitted using the </w:t>
            </w:r>
            <m:oMath>
              <m:sSup>
                <m:sSupPr>
                  <m:ctrlPr>
                    <w:rPr>
                      <w:rFonts w:ascii="Cambria Math" w:hAnsi="Cambria Math" w:eastAsia="Malgun Gothic"/>
                      <w:i/>
                      <w:szCs w:val="20"/>
                      <w:lang w:val="en-GB" w:eastAsia="ja-JP"/>
                    </w:rPr>
                  </m:ctrlPr>
                </m:sSupPr>
                <m:e>
                  <m:r>
                    <m:rPr/>
                    <w:rPr>
                      <w:rFonts w:ascii="Cambria Math" w:hAnsi="Cambria Math" w:eastAsia="Malgun Gothic"/>
                      <w:szCs w:val="20"/>
                      <w:lang w:val="en-GB" w:eastAsia="ja-JP"/>
                    </w:rPr>
                    <m:t>i</m:t>
                  </m:r>
                  <m:ctrlPr>
                    <w:rPr>
                      <w:rFonts w:ascii="Cambria Math" w:hAnsi="Cambria Math" w:eastAsia="Malgun Gothic"/>
                      <w:i/>
                      <w:szCs w:val="20"/>
                      <w:lang w:val="en-GB" w:eastAsia="ja-JP"/>
                    </w:rPr>
                  </m:ctrlPr>
                </m:e>
                <m:sup>
                  <m:r>
                    <m:rPr/>
                    <w:rPr>
                      <w:rFonts w:ascii="Cambria Math" w:hAnsi="Cambria Math" w:eastAsia="Malgun Gothic"/>
                      <w:szCs w:val="20"/>
                      <w:lang w:val="en-GB" w:eastAsia="ja-JP"/>
                    </w:rPr>
                    <m:t>tℎ</m:t>
                  </m:r>
                  <m:ctrlPr>
                    <w:rPr>
                      <w:rFonts w:ascii="Cambria Math" w:hAnsi="Cambria Math" w:eastAsia="Malgun Gothic"/>
                      <w:i/>
                      <w:szCs w:val="20"/>
                      <w:lang w:val="en-GB" w:eastAsia="ja-JP"/>
                    </w:rPr>
                  </m:ctrlPr>
                </m:sup>
              </m:sSup>
            </m:oMath>
            <w:r>
              <w:rPr>
                <w:rFonts w:eastAsia="Malgun Gothic"/>
                <w:szCs w:val="20"/>
                <w:lang w:val="en-GB" w:eastAsia="ja-JP"/>
              </w:rPr>
              <w:t xml:space="preserve"> SD basis vector.</w:t>
            </w:r>
          </w:p>
          <w:p>
            <w:pPr>
              <w:numPr>
                <w:ilvl w:val="0"/>
                <w:numId w:val="10"/>
              </w:numPr>
              <w:snapToGrid w:val="0"/>
              <w:spacing w:before="0" w:after="0"/>
              <w:jc w:val="left"/>
              <w:rPr>
                <w:rFonts w:eastAsia="Batang"/>
                <w:iCs/>
                <w:szCs w:val="20"/>
                <w:lang w:val="en-GB" w:eastAsia="en-US"/>
              </w:rPr>
            </w:pPr>
            <w:r>
              <w:rPr>
                <w:rFonts w:eastAsia="Batang"/>
                <w:iCs/>
                <w:szCs w:val="20"/>
                <w:lang w:val="en-GB" w:eastAsia="en-US"/>
              </w:rPr>
              <w:t>Note: This feature is a separate UE capability</w:t>
            </w:r>
          </w:p>
          <w:p>
            <w:pPr>
              <w:numPr>
                <w:ilvl w:val="0"/>
                <w:numId w:val="10"/>
              </w:numPr>
              <w:snapToGrid w:val="0"/>
              <w:spacing w:before="0" w:after="0"/>
              <w:jc w:val="left"/>
              <w:rPr>
                <w:rFonts w:eastAsia="Batang"/>
                <w:iCs/>
                <w:szCs w:val="20"/>
                <w:lang w:val="en-GB" w:eastAsia="en-US"/>
              </w:rPr>
            </w:pPr>
            <w:r>
              <w:rPr>
                <w:rFonts w:eastAsia="Batang"/>
                <w:iCs/>
                <w:szCs w:val="20"/>
                <w:lang w:val="en-GB" w:eastAsia="en-US"/>
              </w:rPr>
              <w:t>Study whether per-SD-basis-vector/layer power adjustment (including boosting) needs to be supported in addition</w:t>
            </w:r>
          </w:p>
        </w:tc>
      </w:tr>
    </w:tbl>
    <w:p>
      <w:pPr>
        <w:pStyle w:val="112"/>
        <w:ind w:firstLine="0" w:firstLineChars="0"/>
        <w:rPr>
          <w:iCs/>
          <w:szCs w:val="20"/>
        </w:rPr>
      </w:pPr>
      <w:r>
        <w:rPr>
          <w:rFonts w:hint="eastAsia"/>
        </w:rPr>
        <w:t xml:space="preserve">Regarding extending the 3-bit scaling factor application </w:t>
      </w:r>
      <w:r>
        <w:rPr>
          <w:rFonts w:eastAsia="Batang"/>
          <w:iCs/>
          <w:szCs w:val="20"/>
          <w:lang w:val="en-GB" w:eastAsia="en-US"/>
        </w:rPr>
        <w:t>for</w:t>
      </w:r>
      <w:r>
        <w:rPr>
          <w:rFonts w:hint="eastAsia"/>
          <w:iCs/>
          <w:szCs w:val="20"/>
        </w:rPr>
        <w:t xml:space="preserve"> </w:t>
      </w:r>
      <w:r>
        <w:rPr>
          <w:rFonts w:eastAsia="Batang"/>
          <w:iCs/>
          <w:szCs w:val="20"/>
          <w:lang w:val="en-GB" w:eastAsia="en-US"/>
        </w:rPr>
        <w:t>Rel-19 Type-I codebook</w:t>
      </w:r>
      <w:r>
        <w:rPr>
          <w:rFonts w:hint="eastAsia"/>
          <w:iCs/>
          <w:szCs w:val="20"/>
        </w:rPr>
        <w:t xml:space="preserve"> for</w:t>
      </w:r>
      <w:r>
        <w:rPr>
          <w:rFonts w:eastAsia="Batang"/>
          <w:iCs/>
          <w:szCs w:val="20"/>
          <w:lang w:val="en-GB" w:eastAsia="en-US"/>
        </w:rPr>
        <w:t xml:space="preserve"> RI=</w:t>
      </w:r>
      <w:r>
        <w:rPr>
          <w:rFonts w:eastAsia="Malgun Gothic"/>
          <w:i/>
          <w:szCs w:val="20"/>
          <w:lang w:val="en-GB" w:eastAsia="ja-JP"/>
        </w:rPr>
        <w:t xml:space="preserve"> </w:t>
      </w:r>
      <m:oMath>
        <m:r>
          <m:rPr/>
          <w:rPr>
            <w:rFonts w:ascii="Cambria Math" w:hAnsi="Cambria Math" w:eastAsia="Malgun Gothic"/>
            <w:szCs w:val="20"/>
            <w:lang w:val="en-GB" w:eastAsia="ja-JP"/>
          </w:rPr>
          <m:t>ϑ</m:t>
        </m:r>
      </m:oMath>
      <w:r>
        <w:rPr>
          <w:rFonts w:eastAsia="Batang"/>
          <w:iCs/>
          <w:szCs w:val="20"/>
          <w:lang w:val="en-GB" w:eastAsia="en-US"/>
        </w:rPr>
        <w:t xml:space="preserve"> &gt;1</w:t>
      </w:r>
      <w:r>
        <w:rPr>
          <w:rFonts w:hint="eastAsia"/>
          <w:iCs/>
          <w:szCs w:val="20"/>
        </w:rPr>
        <w:t xml:space="preserve">, the following issues are considered. </w:t>
      </w:r>
    </w:p>
    <w:p>
      <w:pPr>
        <w:pStyle w:val="112"/>
        <w:numPr>
          <w:ilvl w:val="0"/>
          <w:numId w:val="12"/>
        </w:numPr>
        <w:ind w:firstLineChars="0"/>
      </w:pPr>
      <w:r>
        <w:rPr>
          <w:rFonts w:hint="eastAsia"/>
        </w:rPr>
        <w:t>As analyzed in the</w:t>
      </w:r>
      <w:r>
        <w:t xml:space="preserve"> above a</w:t>
      </w:r>
      <w:r>
        <w:rPr>
          <w:rFonts w:hint="eastAsia"/>
        </w:rPr>
        <w:t xml:space="preserve">greement, the power restriction determined by the </w:t>
      </w:r>
      <w:r>
        <w:rPr>
          <w:lang w:val="en-GB" w:eastAsia="en-US"/>
        </w:rPr>
        <w:t>3-bit scaling factor</w:t>
      </w:r>
      <w:r>
        <w:rPr>
          <w:rFonts w:hint="eastAsia"/>
        </w:rPr>
        <w:t xml:space="preserve"> for </w:t>
      </w:r>
      <m:oMath>
        <m:sSup>
          <m:sSupPr>
            <m:ctrlPr>
              <w:rPr>
                <w:rFonts w:ascii="Cambria Math" w:hAnsi="Cambria Math"/>
                <w:lang w:val="en-GB" w:eastAsia="en-US"/>
              </w:rPr>
            </m:ctrlPr>
          </m:sSupPr>
          <m:e>
            <m:r>
              <m:rPr>
                <m:sty m:val="p"/>
              </m:rPr>
              <w:rPr>
                <w:rFonts w:ascii="Cambria Math" w:hAnsi="Cambria Math"/>
                <w:lang w:val="en-GB" w:eastAsia="en-US"/>
              </w:rPr>
              <m:t>i</m:t>
            </m:r>
            <m:ctrlPr>
              <w:rPr>
                <w:rFonts w:ascii="Cambria Math" w:hAnsi="Cambria Math"/>
                <w:lang w:val="en-GB" w:eastAsia="en-US"/>
              </w:rPr>
            </m:ctrlPr>
          </m:e>
          <m:sup>
            <m:r>
              <m:rPr>
                <m:sty m:val="p"/>
              </m:rPr>
              <w:rPr>
                <w:rFonts w:ascii="Cambria Math" w:hAnsi="Cambria Math"/>
                <w:lang w:val="en-GB" w:eastAsia="en-US"/>
              </w:rPr>
              <m:t>th</m:t>
            </m:r>
            <m:ctrlPr>
              <w:rPr>
                <w:rFonts w:ascii="Cambria Math" w:hAnsi="Cambria Math"/>
                <w:lang w:val="en-GB" w:eastAsia="en-US"/>
              </w:rPr>
            </m:ctrlPr>
          </m:sup>
        </m:sSup>
      </m:oMath>
      <w:r>
        <w:rPr>
          <w:lang w:val="en-GB" w:eastAsia="en-US"/>
        </w:rPr>
        <w:t xml:space="preserve"> selected SD basis vector</w:t>
      </w:r>
      <w:r>
        <w:rPr>
          <w:rFonts w:hint="eastAsia"/>
        </w:rPr>
        <w:t xml:space="preserve"> is </w:t>
      </w:r>
      <m:oMath>
        <m:f>
          <m:fPr>
            <m:ctrlPr>
              <w:rPr>
                <w:rFonts w:ascii="Cambria Math" w:hAnsi="Cambria Math"/>
                <w:i/>
                <w:iCs/>
                <w:lang w:val="en-GB" w:eastAsia="ja-JP"/>
              </w:rPr>
            </m:ctrlPr>
          </m:fPr>
          <m:num>
            <m:r>
              <m:rPr/>
              <w:rPr>
                <w:rFonts w:ascii="Cambria Math" w:hAnsi="Cambria Math"/>
                <w:lang w:val="en-GB" w:eastAsia="ja-JP"/>
              </w:rPr>
              <m:t>ϑ</m:t>
            </m:r>
            <m:sSubSup>
              <m:sSubSupPr>
                <m:ctrlPr>
                  <w:rPr>
                    <w:rFonts w:ascii="Cambria Math" w:hAnsi="Cambria Math"/>
                    <w:i/>
                    <w:iCs/>
                    <w:lang w:val="en-GB" w:eastAsia="ja-JP"/>
                  </w:rPr>
                </m:ctrlPr>
              </m:sSubSupPr>
              <m:e>
                <m:r>
                  <m:rPr/>
                  <w:rPr>
                    <w:rFonts w:ascii="Cambria Math" w:hAnsi="Cambria Math"/>
                    <w:lang w:val="en-GB" w:eastAsia="ja-JP"/>
                  </w:rPr>
                  <m:t>s</m:t>
                </m:r>
                <m:ctrlPr>
                  <w:rPr>
                    <w:rFonts w:ascii="Cambria Math" w:hAnsi="Cambria Math"/>
                    <w:i/>
                    <w:iCs/>
                    <w:lang w:val="en-GB" w:eastAsia="ja-JP"/>
                  </w:rPr>
                </m:ctrlPr>
              </m:e>
              <m:sub>
                <m:r>
                  <m:rPr/>
                  <w:rPr>
                    <w:rFonts w:ascii="Cambria Math" w:hAnsi="Cambria Math"/>
                    <w:lang w:val="en-GB" w:eastAsia="ja-JP"/>
                  </w:rPr>
                  <m:t>i</m:t>
                </m:r>
                <m:ctrlPr>
                  <w:rPr>
                    <w:rFonts w:ascii="Cambria Math" w:hAnsi="Cambria Math"/>
                    <w:i/>
                    <w:iCs/>
                    <w:lang w:val="en-GB" w:eastAsia="ja-JP"/>
                  </w:rPr>
                </m:ctrlPr>
              </m:sub>
              <m:sup>
                <m:r>
                  <m:rPr/>
                  <w:rPr>
                    <w:rFonts w:ascii="Cambria Math" w:hAnsi="Cambria Math"/>
                    <w:lang w:val="en-GB" w:eastAsia="ja-JP"/>
                  </w:rPr>
                  <m:t>2</m:t>
                </m:r>
                <m:ctrlPr>
                  <w:rPr>
                    <w:rFonts w:ascii="Cambria Math" w:hAnsi="Cambria Math"/>
                    <w:i/>
                    <w:iCs/>
                    <w:lang w:val="en-GB" w:eastAsia="ja-JP"/>
                  </w:rPr>
                </m:ctrlPr>
              </m:sup>
            </m:sSubSup>
            <m:ctrlPr>
              <w:rPr>
                <w:rFonts w:ascii="Cambria Math" w:hAnsi="Cambria Math"/>
                <w:i/>
                <w:iCs/>
                <w:lang w:val="en-GB" w:eastAsia="ja-JP"/>
              </w:rPr>
            </m:ctrlPr>
          </m:num>
          <m:den>
            <m:sSub>
              <m:sSubPr>
                <m:ctrlPr>
                  <w:rPr>
                    <w:rFonts w:ascii="Cambria Math" w:hAnsi="Cambria Math"/>
                    <w:i/>
                    <w:iCs/>
                    <w:lang w:val="en-GB" w:eastAsia="ja-JP"/>
                  </w:rPr>
                </m:ctrlPr>
              </m:sSubPr>
              <m:e>
                <m:r>
                  <m:rPr/>
                  <w:rPr>
                    <w:rFonts w:ascii="Cambria Math" w:hAnsi="Cambria Math"/>
                    <w:lang w:val="en-GB" w:eastAsia="ja-JP"/>
                  </w:rPr>
                  <m:t>r</m:t>
                </m:r>
                <m:ctrlPr>
                  <w:rPr>
                    <w:rFonts w:ascii="Cambria Math" w:hAnsi="Cambria Math"/>
                    <w:i/>
                    <w:iCs/>
                    <w:lang w:val="en-GB" w:eastAsia="ja-JP"/>
                  </w:rPr>
                </m:ctrlPr>
              </m:e>
              <m:sub>
                <m:r>
                  <m:rPr/>
                  <w:rPr>
                    <w:rFonts w:ascii="Cambria Math" w:hAnsi="Cambria Math"/>
                    <w:lang w:val="en-GB" w:eastAsia="ja-JP"/>
                  </w:rPr>
                  <m:t>i</m:t>
                </m:r>
                <m:ctrlPr>
                  <w:rPr>
                    <w:rFonts w:ascii="Cambria Math" w:hAnsi="Cambria Math"/>
                    <w:i/>
                    <w:iCs/>
                    <w:lang w:val="en-GB" w:eastAsia="ja-JP"/>
                  </w:rPr>
                </m:ctrlPr>
              </m:sub>
            </m:sSub>
            <m:ctrlPr>
              <w:rPr>
                <w:rFonts w:ascii="Cambria Math" w:hAnsi="Cambria Math"/>
                <w:i/>
                <w:iCs/>
                <w:lang w:val="en-GB" w:eastAsia="ja-JP"/>
              </w:rPr>
            </m:ctrlPr>
          </m:den>
        </m:f>
      </m:oMath>
      <w:r>
        <w:rPr>
          <w:rFonts w:hint="eastAsia"/>
        </w:rPr>
        <w:t xml:space="preserve"> when </w:t>
      </w:r>
      <w:r>
        <w:rPr>
          <w:lang w:val="en-GB" w:eastAsia="en-US"/>
        </w:rPr>
        <w:t>RI=</w:t>
      </w:r>
      <w:r>
        <w:rPr>
          <w:lang w:val="en-GB" w:eastAsia="ja-JP"/>
        </w:rPr>
        <w:t xml:space="preserve"> </w:t>
      </w:r>
      <m:oMath>
        <m:r>
          <m:rPr>
            <m:sty m:val="p"/>
          </m:rPr>
          <w:rPr>
            <w:rFonts w:ascii="Cambria Math" w:hAnsi="Cambria Math"/>
            <w:lang w:val="en-GB" w:eastAsia="ja-JP"/>
          </w:rPr>
          <m:t>ϑ</m:t>
        </m:r>
      </m:oMath>
      <w:r>
        <w:rPr>
          <w:rFonts w:hint="eastAsia"/>
        </w:rPr>
        <w:t>. As the number of</w:t>
      </w:r>
      <w:r>
        <w:rPr>
          <w:lang w:val="en-GB" w:eastAsia="ja-JP"/>
        </w:rPr>
        <w:t xml:space="preserve"> </w:t>
      </w:r>
      <m:oMath>
        <m:r>
          <m:rPr>
            <m:sty m:val="p"/>
          </m:rPr>
          <w:rPr>
            <w:rFonts w:ascii="Cambria Math" w:hAnsi="Cambria Math"/>
            <w:lang w:val="en-GB" w:eastAsia="ja-JP"/>
          </w:rPr>
          <m:t>ϑ</m:t>
        </m:r>
      </m:oMath>
      <w:r>
        <w:rPr>
          <w:rFonts w:hint="eastAsia"/>
        </w:rPr>
        <w:t xml:space="preserve"> increases, the power restriction gradually decreases, potentially result</w:t>
      </w:r>
      <w:r>
        <w:t>ing</w:t>
      </w:r>
      <w:r>
        <w:rPr>
          <w:rFonts w:hint="eastAsia"/>
        </w:rPr>
        <w:t xml:space="preserve"> in a small performance gain of the 3-bit scaling factor</w:t>
      </w:r>
      <w:r>
        <w:rPr>
          <w:rFonts w:hint="eastAsia"/>
          <w:iCs/>
          <w:szCs w:val="20"/>
        </w:rPr>
        <w:t xml:space="preserve"> for</w:t>
      </w:r>
      <w:r>
        <w:rPr>
          <w:rFonts w:eastAsia="Batang"/>
          <w:iCs/>
          <w:szCs w:val="20"/>
          <w:lang w:val="en-GB" w:eastAsia="en-US"/>
        </w:rPr>
        <w:t xml:space="preserve"> RI=</w:t>
      </w:r>
      <m:oMath>
        <m:r>
          <m:rPr/>
          <w:rPr>
            <w:rFonts w:ascii="Cambria Math" w:hAnsi="Cambria Math" w:eastAsia="Malgun Gothic"/>
            <w:szCs w:val="20"/>
            <w:lang w:val="en-GB" w:eastAsia="ja-JP"/>
          </w:rPr>
          <m:t>ϑ</m:t>
        </m:r>
      </m:oMath>
      <w:r>
        <w:rPr>
          <w:rFonts w:eastAsia="Batang"/>
          <w:iCs/>
          <w:szCs w:val="20"/>
          <w:lang w:val="en-GB" w:eastAsia="en-US"/>
        </w:rPr>
        <w:t>&gt;1</w:t>
      </w:r>
      <w:r>
        <w:rPr>
          <w:rFonts w:hint="eastAsia"/>
        </w:rPr>
        <w:t xml:space="preserve">. As shown in Figure 2, our SLS results demonstrate that the </w:t>
      </w:r>
      <w:r>
        <w:rPr>
          <w:lang w:val="en-GB"/>
        </w:rPr>
        <w:t>3-bit scaling factor cannot provide significant system performance gain</w:t>
      </w:r>
      <w:r>
        <w:rPr>
          <w:rFonts w:hint="eastAsia"/>
        </w:rPr>
        <w:t>, with a gain of 6.90% for cell-edge UEs and an average gain of only 1.43%</w:t>
      </w:r>
      <w:r>
        <w:rPr>
          <w:lang w:val="en-GB"/>
        </w:rPr>
        <w:t>.</w:t>
      </w:r>
      <w:r>
        <w:rPr>
          <w:rFonts w:hint="eastAsia"/>
        </w:rPr>
        <w:t xml:space="preserve"> </w:t>
      </w:r>
    </w:p>
    <w:p>
      <w:pPr>
        <w:pStyle w:val="112"/>
        <w:ind w:firstLine="0" w:firstLineChars="0"/>
        <w:jc w:val="center"/>
      </w:pPr>
      <w:r>
        <w:drawing>
          <wp:inline distT="0" distB="0" distL="114300" distR="114300">
            <wp:extent cx="4057015" cy="2235200"/>
            <wp:effectExtent l="4445" t="4445" r="7620" b="15875"/>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pPr>
        <w:pStyle w:val="112"/>
        <w:snapToGrid w:val="0"/>
        <w:spacing w:before="72" w:beforeLines="30" w:after="72" w:afterLines="30" w:line="300" w:lineRule="auto"/>
        <w:ind w:firstLine="0" w:firstLineChars="0"/>
        <w:jc w:val="center"/>
        <w:textAlignment w:val="center"/>
        <w:rPr>
          <w:rFonts w:eastAsia="微软雅黑"/>
          <w:szCs w:val="20"/>
        </w:rPr>
      </w:pPr>
      <w:r>
        <w:rPr>
          <w:b/>
          <w:szCs w:val="20"/>
        </w:rPr>
        <w:t xml:space="preserve">Figure </w:t>
      </w:r>
      <w:r>
        <w:rPr>
          <w:rFonts w:hint="eastAsia"/>
          <w:b/>
          <w:szCs w:val="20"/>
        </w:rPr>
        <w:t>2</w:t>
      </w:r>
      <w:r>
        <w:rPr>
          <w:rFonts w:hint="eastAsia"/>
          <w:szCs w:val="20"/>
        </w:rPr>
        <w:t xml:space="preserve"> </w:t>
      </w:r>
      <w:r>
        <w:rPr>
          <w:rFonts w:eastAsia="微软雅黑"/>
          <w:szCs w:val="20"/>
        </w:rPr>
        <w:t xml:space="preserve">SLS results of </w:t>
      </w:r>
      <w:r>
        <w:rPr>
          <w:rFonts w:hint="eastAsia" w:eastAsia="微软雅黑"/>
          <w:szCs w:val="20"/>
        </w:rPr>
        <w:t xml:space="preserve">UPT </w:t>
      </w:r>
      <w:r>
        <w:rPr>
          <w:rFonts w:eastAsia="微软雅黑"/>
          <w:szCs w:val="20"/>
        </w:rPr>
        <w:t>gain for</w:t>
      </w:r>
      <w:r>
        <w:rPr>
          <w:rFonts w:hint="eastAsia" w:eastAsia="微软雅黑"/>
          <w:szCs w:val="20"/>
        </w:rPr>
        <w:t xml:space="preserve"> R19 Scheme-A codebook for RI=3-4</w:t>
      </w:r>
    </w:p>
    <w:p>
      <w:pPr>
        <w:snapToGrid w:val="0"/>
        <w:spacing w:beforeLines="50" w:afterLines="50" w:line="300" w:lineRule="auto"/>
      </w:pPr>
      <w:r>
        <w:rPr>
          <w:b/>
          <w:i/>
          <w:color w:val="000000"/>
          <w:szCs w:val="20"/>
        </w:rPr>
        <w:t>Observation 1:</w:t>
      </w:r>
      <w:r>
        <w:rPr>
          <w:color w:val="000000"/>
          <w:szCs w:val="20"/>
        </w:rPr>
        <w:t xml:space="preserve"> </w:t>
      </w:r>
      <w:r>
        <w:rPr>
          <w:rFonts w:hint="eastAsia" w:eastAsia="微软雅黑"/>
          <w:i/>
          <w:szCs w:val="20"/>
        </w:rPr>
        <w:t xml:space="preserve">The </w:t>
      </w:r>
      <w:r>
        <w:rPr>
          <w:rFonts w:eastAsia="微软雅黑"/>
          <w:i/>
          <w:szCs w:val="20"/>
          <w:lang w:val="en-GB"/>
        </w:rPr>
        <w:t>3-bit scaling factor cannot provide significant system performance gain</w:t>
      </w:r>
      <w:r>
        <w:rPr>
          <w:rFonts w:hint="eastAsia" w:eastAsia="微软雅黑"/>
          <w:i/>
          <w:szCs w:val="20"/>
        </w:rPr>
        <w:t xml:space="preserve"> for </w:t>
      </w:r>
      <w:r>
        <w:rPr>
          <w:rFonts w:eastAsia="微软雅黑"/>
          <w:i/>
          <w:szCs w:val="20"/>
          <w:lang w:val="en-GB" w:eastAsia="en-US"/>
        </w:rPr>
        <w:t>RI=</w:t>
      </w:r>
      <w:r>
        <w:rPr>
          <w:rFonts w:eastAsia="微软雅黑"/>
          <w:i/>
          <w:szCs w:val="20"/>
          <w:lang w:val="en-GB" w:eastAsia="ja-JP"/>
        </w:rPr>
        <w:t xml:space="preserve"> </w:t>
      </w:r>
      <m:oMath>
        <m:r>
          <m:rPr/>
          <w:rPr>
            <w:rFonts w:ascii="Cambria Math" w:hAnsi="Cambria Math" w:eastAsia="微软雅黑"/>
            <w:szCs w:val="20"/>
            <w:lang w:val="en-GB" w:eastAsia="ja-JP"/>
          </w:rPr>
          <m:t>ϑ</m:t>
        </m:r>
      </m:oMath>
      <w:r>
        <w:rPr>
          <w:rFonts w:eastAsia="微软雅黑"/>
          <w:i/>
          <w:szCs w:val="20"/>
          <w:lang w:val="en-GB" w:eastAsia="en-US"/>
        </w:rPr>
        <w:t xml:space="preserve"> &gt;1</w:t>
      </w:r>
      <w:r>
        <w:rPr>
          <w:rFonts w:hint="eastAsia" w:eastAsia="微软雅黑"/>
          <w:i/>
          <w:szCs w:val="20"/>
        </w:rPr>
        <w:t xml:space="preserve">. </w:t>
      </w:r>
    </w:p>
    <w:p>
      <w:pPr>
        <w:pStyle w:val="112"/>
        <w:ind w:firstLine="0" w:firstLineChars="0"/>
      </w:pPr>
      <w:r>
        <w:rPr>
          <w:rFonts w:hint="eastAsia"/>
        </w:rPr>
        <w:t xml:space="preserve">As mentioned in </w:t>
      </w:r>
      <w:r>
        <w:t>the above a</w:t>
      </w:r>
      <w:r>
        <w:rPr>
          <w:rFonts w:hint="eastAsia"/>
        </w:rPr>
        <w:t xml:space="preserve">greement, when </w:t>
      </w:r>
      <w:r>
        <w:rPr>
          <w:lang w:val="en-GB" w:eastAsia="en-US"/>
        </w:rPr>
        <w:t>RI=</w:t>
      </w:r>
      <w:r>
        <w:rPr>
          <w:lang w:val="en-GB" w:eastAsia="ja-JP"/>
        </w:rPr>
        <w:t xml:space="preserve"> </w:t>
      </w:r>
      <m:oMath>
        <m:r>
          <m:rPr>
            <m:sty m:val="p"/>
          </m:rPr>
          <w:rPr>
            <w:rFonts w:ascii="Cambria Math" w:hAnsi="Cambria Math"/>
            <w:lang w:val="en-GB" w:eastAsia="ja-JP"/>
          </w:rPr>
          <m:t>ϑ</m:t>
        </m:r>
      </m:oMath>
      <w:r>
        <w:rPr>
          <w:lang w:val="en-GB" w:eastAsia="en-US"/>
        </w:rPr>
        <w:t xml:space="preserve"> &gt;1</w:t>
      </w:r>
      <w:r>
        <w:rPr>
          <w:rFonts w:hint="eastAsia"/>
        </w:rPr>
        <w:t xml:space="preserve">, one more </w:t>
      </w:r>
      <w:r>
        <w:rPr>
          <w:lang w:val="en-GB" w:eastAsia="en-US"/>
        </w:rPr>
        <w:t>3-bit scaling factor</w:t>
      </w:r>
      <w:r>
        <w:rPr>
          <w:rFonts w:hint="eastAsia"/>
        </w:rPr>
        <w:t xml:space="preserve"> of SD bases </w:t>
      </w:r>
      <w:r>
        <w:t xml:space="preserve">can be </w:t>
      </w:r>
      <w:r>
        <w:rPr>
          <w:rFonts w:hint="eastAsia"/>
        </w:rPr>
        <w:t xml:space="preserve">utilized within a Type-I precoding matrix. Consequently, power allocation rules among the SD bases need to be established and unified both on gNB side and UE side. The scaling rules only suppress the power of the beams exceeding the power limitation defined by the </w:t>
      </w:r>
      <w:r>
        <w:rPr>
          <w:lang w:val="en-GB" w:eastAsia="en-US"/>
        </w:rPr>
        <w:t>3-bit scaling factor(s)</w:t>
      </w:r>
      <w:r>
        <w:rPr>
          <w:rFonts w:hint="eastAsia"/>
        </w:rPr>
        <w:t xml:space="preserve"> in</w:t>
      </w:r>
      <w:r>
        <w:rPr>
          <w:lang w:val="en-GB" w:eastAsia="en-US"/>
        </w:rPr>
        <w:t xml:space="preserve"> Rel-19 Type-I codebook</w:t>
      </w:r>
      <w:r>
        <w:rPr>
          <w:rFonts w:hint="eastAsia"/>
        </w:rPr>
        <w:t xml:space="preserve">, which may cause </w:t>
      </w:r>
      <w:r>
        <w:t>unexpected DL Tx</w:t>
      </w:r>
      <w:r>
        <w:rPr>
          <w:rFonts w:hint="eastAsia"/>
        </w:rPr>
        <w:t xml:space="preserve"> power reduction </w:t>
      </w:r>
      <w:r>
        <w:t>in</w:t>
      </w:r>
      <w:r>
        <w:rPr>
          <w:rFonts w:hint="eastAsia"/>
        </w:rPr>
        <w:t xml:space="preserve"> gNB. </w:t>
      </w:r>
    </w:p>
    <w:p>
      <w:pPr>
        <w:snapToGrid w:val="0"/>
        <w:spacing w:beforeLines="50" w:afterLines="50" w:line="300" w:lineRule="auto"/>
      </w:pPr>
      <w:r>
        <w:rPr>
          <w:b/>
          <w:i/>
          <w:color w:val="000000"/>
          <w:szCs w:val="20"/>
        </w:rPr>
        <w:t xml:space="preserve">Observation </w:t>
      </w:r>
      <w:r>
        <w:rPr>
          <w:rFonts w:hint="eastAsia"/>
          <w:b/>
          <w:i/>
          <w:color w:val="000000"/>
          <w:szCs w:val="20"/>
        </w:rPr>
        <w:t>2</w:t>
      </w:r>
      <w:r>
        <w:rPr>
          <w:b/>
          <w:i/>
          <w:color w:val="000000"/>
          <w:szCs w:val="20"/>
        </w:rPr>
        <w:t>:</w:t>
      </w:r>
      <w:r>
        <w:rPr>
          <w:color w:val="000000"/>
          <w:szCs w:val="20"/>
        </w:rPr>
        <w:t xml:space="preserve"> </w:t>
      </w:r>
      <w:r>
        <w:rPr>
          <w:rFonts w:hint="eastAsia" w:eastAsia="微软雅黑"/>
          <w:i/>
          <w:szCs w:val="20"/>
        </w:rPr>
        <w:t xml:space="preserve">In order to reduce the unnecessary power loss of the gNB, per-SD-basis-vector/layer power adjustment (including boosting) needs to be supported in addition. </w:t>
      </w:r>
    </w:p>
    <w:p>
      <w:pPr>
        <w:pStyle w:val="112"/>
        <w:ind w:firstLine="0" w:firstLineChars="0"/>
      </w:pPr>
      <w:r>
        <w:rPr>
          <w:rFonts w:hint="eastAsia"/>
        </w:rPr>
        <w:t xml:space="preserve">While the waterfilling algorithm is considered to be an efficient solution to mitigate this issue, it requires several iterations and judgments for effective power allocation, which may increase </w:t>
      </w:r>
      <w:r>
        <w:t>UE implementation</w:t>
      </w:r>
      <w:r>
        <w:rPr>
          <w:rFonts w:hint="eastAsia"/>
        </w:rPr>
        <w:t xml:space="preserve"> </w:t>
      </w:r>
      <w:r>
        <w:t xml:space="preserve">complexity. </w:t>
      </w:r>
    </w:p>
    <w:p>
      <w:pPr>
        <w:pStyle w:val="112"/>
        <w:ind w:firstLine="0" w:firstLineChars="0"/>
      </w:pPr>
      <w:r>
        <w:rPr>
          <w:rFonts w:hint="eastAsia"/>
        </w:rPr>
        <w:t>To simplify the power allocation and CSI calculation, a straightforward restriction can be applied. Specifically, only one non-one scaling factor can be applied. This means that, except the SD basis vectors being configured with a scaling factor = 1, all the other SD basis vectors are applied with a same scaling factor &lt; 1. In this way, after scaling down the power of SD basis vectors with same scaling factor &lt; 1, the remaining power can be evenly distributed among each layer of the SD bases with scaling factor = 1.</w:t>
      </w:r>
    </w:p>
    <w:p>
      <w:pPr>
        <w:pStyle w:val="112"/>
        <w:ind w:firstLine="0" w:firstLineChars="0"/>
      </w:pPr>
      <w:r>
        <w:rPr>
          <w:rFonts w:hint="eastAsia"/>
        </w:rPr>
        <w:t xml:space="preserve">The </w:t>
      </w:r>
      <w:r>
        <w:rPr>
          <w:rFonts w:hint="eastAsia"/>
          <w:lang w:val="en-GB"/>
        </w:rPr>
        <w:t>3-bit scaling factor cannot be applied to</w:t>
      </w:r>
      <w:r>
        <w:rPr>
          <w:rFonts w:hint="eastAsia"/>
        </w:rPr>
        <w:t xml:space="preserve"> </w:t>
      </w:r>
      <w:r>
        <w:rPr>
          <w:rFonts w:hint="eastAsia"/>
          <w:lang w:val="en-GB" w:eastAsia="en-US"/>
        </w:rPr>
        <w:t>Rel-19 Type-I codebook</w:t>
      </w:r>
      <w:r>
        <w:rPr>
          <w:rFonts w:hint="eastAsia"/>
          <w:lang w:val="en-GB"/>
        </w:rPr>
        <w:t xml:space="preserve"> Scheme-B</w:t>
      </w:r>
      <w:r>
        <w:rPr>
          <w:rFonts w:hint="eastAsia"/>
        </w:rPr>
        <w:t xml:space="preserve">. </w:t>
      </w:r>
      <w:r>
        <w:rPr>
          <w:rFonts w:hint="eastAsia"/>
          <w:lang w:val="en-GB"/>
        </w:rPr>
        <w:t>For RI = 1~4, UE may report a same SD basis vector but non-orthogonal inter-polarization coefficients for two layers, then transmission power allocation between these two layers is problematic</w:t>
      </w:r>
      <w:r>
        <w:rPr>
          <w:rFonts w:hint="eastAsia"/>
        </w:rPr>
        <w:t xml:space="preserve">. </w:t>
      </w:r>
      <w:r>
        <w:rPr>
          <w:rFonts w:hint="eastAsia"/>
          <w:lang w:val="en-GB"/>
        </w:rPr>
        <w:t>For RI = 5~8, UE cannot indicate whether one SD basis vector is used for one or two layers, then the RI/PMI calculation considering the 3-bit scaling factor is also problematic</w:t>
      </w:r>
      <w:r>
        <w:rPr>
          <w:rFonts w:hint="eastAsia"/>
        </w:rPr>
        <w:t>.</w:t>
      </w:r>
    </w:p>
    <w:p>
      <w:pPr>
        <w:pStyle w:val="112"/>
        <w:ind w:firstLine="0" w:firstLineChars="0"/>
      </w:pPr>
      <w:r>
        <w:rPr>
          <w:rFonts w:eastAsia="Batang"/>
          <w:szCs w:val="24"/>
          <w:lang w:val="en-GB"/>
        </w:rPr>
        <w:t>Applying the 3-bit scaling factor to RI &gt; 1 may introduce additional processing complexity at UE side</w:t>
      </w:r>
      <w:r>
        <w:rPr>
          <w:rFonts w:hint="eastAsia" w:eastAsia="Batang"/>
          <w:szCs w:val="24"/>
        </w:rPr>
        <w:t xml:space="preserve">. If the </w:t>
      </w:r>
      <w:r>
        <w:rPr>
          <w:rFonts w:hint="eastAsia"/>
          <w:lang w:val="en-GB"/>
        </w:rPr>
        <w:t>3-bit scaling factor</w:t>
      </w:r>
      <w:r>
        <w:rPr>
          <w:rFonts w:hint="eastAsia"/>
        </w:rPr>
        <w:t xml:space="preserve"> is configured, </w:t>
      </w:r>
      <w:r>
        <w:t>the</w:t>
      </w:r>
      <w:r>
        <w:rPr>
          <w:rFonts w:hint="eastAsia"/>
        </w:rPr>
        <w:t xml:space="preserve"> layer-level scaling factor need to be calculated for each precoding matrix for Type-I codebook. </w:t>
      </w:r>
    </w:p>
    <w:p>
      <w:pPr>
        <w:rPr>
          <w:rFonts w:eastAsia="微软雅黑"/>
          <w:i/>
          <w:szCs w:val="20"/>
        </w:rPr>
      </w:pPr>
      <w:r>
        <w:rPr>
          <w:rFonts w:hint="eastAsia"/>
          <w:b/>
          <w:i/>
        </w:rPr>
        <w:t>P</w:t>
      </w:r>
      <w:r>
        <w:rPr>
          <w:b/>
          <w:i/>
        </w:rPr>
        <w:t xml:space="preserve">roposal </w:t>
      </w:r>
      <w:r>
        <w:rPr>
          <w:rFonts w:hint="eastAsia"/>
          <w:b/>
          <w:i/>
        </w:rPr>
        <w:t>2</w:t>
      </w:r>
      <w:r>
        <w:rPr>
          <w:b/>
          <w:i/>
        </w:rPr>
        <w:t>:</w:t>
      </w:r>
      <w:r>
        <w:rPr>
          <w:i/>
        </w:rPr>
        <w:t xml:space="preserve"> </w:t>
      </w:r>
      <w:r>
        <w:rPr>
          <w:rFonts w:eastAsia="微软雅黑"/>
          <w:i/>
          <w:szCs w:val="20"/>
        </w:rPr>
        <w:t xml:space="preserve">Regarding </w:t>
      </w:r>
      <w:r>
        <w:rPr>
          <w:rFonts w:hint="eastAsia" w:eastAsia="微软雅黑"/>
          <w:i/>
          <w:szCs w:val="20"/>
        </w:rPr>
        <w:t xml:space="preserve">the </w:t>
      </w:r>
      <w:r>
        <w:rPr>
          <w:rFonts w:eastAsia="微软雅黑"/>
          <w:i/>
          <w:szCs w:val="20"/>
        </w:rPr>
        <w:t>3-bit scaling factor for Type-I codebook</w:t>
      </w:r>
      <w:r>
        <w:rPr>
          <w:rFonts w:hint="eastAsia" w:eastAsia="微软雅黑"/>
          <w:i/>
          <w:szCs w:val="20"/>
        </w:rPr>
        <w:t xml:space="preserve">, </w:t>
      </w:r>
    </w:p>
    <w:p>
      <w:pPr>
        <w:pStyle w:val="112"/>
        <w:numPr>
          <w:ilvl w:val="0"/>
          <w:numId w:val="13"/>
        </w:numPr>
        <w:snapToGrid w:val="0"/>
        <w:spacing w:before="0" w:after="0"/>
        <w:ind w:left="839" w:firstLineChars="0"/>
        <w:rPr>
          <w:i/>
          <w:iCs/>
          <w:lang w:val="en-GB"/>
        </w:rPr>
      </w:pPr>
      <w:r>
        <w:rPr>
          <w:rFonts w:hint="eastAsia"/>
          <w:i/>
          <w:iCs/>
          <w:lang w:val="en-GB"/>
        </w:rPr>
        <w:t>The 3-bit scaling factor is only applied for Rel-19 Scheme-A for RI = 1~4.</w:t>
      </w:r>
    </w:p>
    <w:p>
      <w:pPr>
        <w:pStyle w:val="112"/>
        <w:numPr>
          <w:ilvl w:val="0"/>
          <w:numId w:val="13"/>
        </w:numPr>
        <w:snapToGrid w:val="0"/>
        <w:spacing w:before="0" w:after="0"/>
        <w:ind w:left="839" w:firstLineChars="0"/>
        <w:rPr>
          <w:i/>
          <w:iCs/>
        </w:rPr>
      </w:pPr>
      <w:r>
        <w:rPr>
          <w:rFonts w:hint="eastAsia"/>
          <w:i/>
          <w:iCs/>
          <w:lang w:val="en-GB"/>
        </w:rPr>
        <w:t>To simplify the CSI calculation, only one non-one scaling factor can be applied, i.e., except the SD basis vectors being configured with a scaling factor = 1, all the other SD basis vectors are applied with a same scaling factor &lt; 1.</w:t>
      </w:r>
    </w:p>
    <w:p>
      <w:pPr>
        <w:pStyle w:val="112"/>
        <w:numPr>
          <w:ilvl w:val="2"/>
          <w:numId w:val="8"/>
        </w:numPr>
        <w:snapToGrid w:val="0"/>
        <w:spacing w:before="72" w:beforeLines="30" w:after="72" w:afterLines="30" w:line="300" w:lineRule="auto"/>
        <w:ind w:firstLineChars="0"/>
        <w:textAlignment w:val="center"/>
        <w:outlineLvl w:val="2"/>
        <w:rPr>
          <w:b/>
        </w:rPr>
      </w:pPr>
      <w:r>
        <w:rPr>
          <w:rFonts w:hint="eastAsia"/>
          <w:b/>
        </w:rPr>
        <w:t>D</w:t>
      </w:r>
      <w:r>
        <w:rPr>
          <w:b/>
        </w:rPr>
        <w:t>ropping rule for Rel-19 Type-I/Type-II CSI reports</w:t>
      </w:r>
    </w:p>
    <w:p>
      <w:pPr>
        <w:pStyle w:val="112"/>
        <w:ind w:firstLine="0" w:firstLineChars="0"/>
        <w:rPr>
          <w:szCs w:val="24"/>
        </w:rPr>
      </w:pPr>
      <w:r>
        <w:rPr>
          <w:rFonts w:hint="eastAsia"/>
        </w:rPr>
        <w:t xml:space="preserve">In current specification TS38.214, regarding Rel-17/18 CSI enhancement, the UE reports a CSI report only after receiving at least one CSI-RS transmission occasion for each of the CSI-RS resources in the corresponding CSI-RS </w:t>
      </w:r>
      <w:r>
        <w:t>r</w:t>
      </w:r>
      <w:r>
        <w:rPr>
          <w:rFonts w:hint="eastAsia"/>
        </w:rPr>
        <w:t xml:space="preserve">esource </w:t>
      </w:r>
      <w:r>
        <w:t>s</w:t>
      </w:r>
      <w:r>
        <w:rPr>
          <w:rFonts w:hint="eastAsia"/>
        </w:rPr>
        <w:t xml:space="preserve">et for channel measurement and one CSI-RS and/or CSI-IM resource transmission occasion for the CSI-RS and/or CSI-IM resource in the corresponding </w:t>
      </w:r>
      <w:r>
        <w:t>r</w:t>
      </w:r>
      <w:r>
        <w:rPr>
          <w:rFonts w:hint="eastAsia"/>
        </w:rPr>
        <w:t xml:space="preserve">esource </w:t>
      </w:r>
      <w:r>
        <w:t>s</w:t>
      </w:r>
      <w:r>
        <w:rPr>
          <w:rFonts w:hint="eastAsia"/>
        </w:rPr>
        <w:t>et for interference measurement no later than the CSI reference resource and within the same DRX Active Time, when DRX is configured, and drops the report otherwise.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spacing w:after="180"/>
              <w:ind w:left="1418" w:hanging="1418"/>
              <w:outlineLvl w:val="3"/>
              <w:rPr>
                <w:rFonts w:eastAsia="Batang"/>
                <w:szCs w:val="24"/>
              </w:rPr>
            </w:pPr>
            <w:r>
              <w:rPr>
                <w:rFonts w:ascii="Arial" w:hAnsi="Arial"/>
                <w:sz w:val="24"/>
                <w:lang w:eastAsia="en-US"/>
              </w:rPr>
              <w:t>5.2.2.5</w:t>
            </w:r>
            <w:r>
              <w:rPr>
                <w:rFonts w:ascii="Arial" w:hAnsi="Arial"/>
                <w:sz w:val="24"/>
                <w:lang w:eastAsia="en-US"/>
              </w:rPr>
              <w:tab/>
            </w:r>
            <w:r>
              <w:rPr>
                <w:rFonts w:ascii="Arial" w:hAnsi="Arial"/>
                <w:sz w:val="24"/>
                <w:lang w:eastAsia="en-US"/>
              </w:rPr>
              <w:t>CSI reference resource definition</w:t>
            </w:r>
          </w:p>
          <w:p>
            <w:pPr>
              <w:numPr>
                <w:ilvl w:val="255"/>
                <w:numId w:val="0"/>
              </w:numPr>
              <w:spacing w:line="240" w:lineRule="auto"/>
              <w:jc w:val="center"/>
              <w:rPr>
                <w:rFonts w:eastAsia="Batang"/>
                <w:szCs w:val="24"/>
              </w:rPr>
            </w:pPr>
            <w:r>
              <w:rPr>
                <w:rFonts w:hint="eastAsia"/>
                <w:bCs/>
              </w:rPr>
              <w:t>&lt; Text omitted &gt;</w:t>
            </w:r>
          </w:p>
          <w:p>
            <w:pPr>
              <w:spacing w:before="0" w:after="180" w:line="240" w:lineRule="auto"/>
              <w:jc w:val="left"/>
              <w:rPr>
                <w:color w:val="000000"/>
                <w:szCs w:val="20"/>
                <w:lang w:val="en-GB" w:eastAsia="en-US"/>
              </w:rPr>
            </w:pPr>
            <w:r>
              <w:rPr>
                <w:color w:val="000000"/>
                <w:szCs w:val="20"/>
                <w:lang w:val="en-GB" w:eastAsia="en-US"/>
              </w:rPr>
              <w:t xml:space="preserve">For a CSI-ReportConfig configured with two Resource Groups and </w:t>
            </w:r>
            <m:oMath>
              <m:r>
                <m:rPr/>
                <w:rPr>
                  <w:rFonts w:ascii="Cambria Math" w:hAnsi="Cambria Math"/>
                  <w:color w:val="000000"/>
                </w:rPr>
                <m:t>N</m:t>
              </m:r>
            </m:oMath>
            <w:r>
              <w:rPr>
                <w:color w:val="000000"/>
                <w:szCs w:val="20"/>
                <w:lang w:val="en-GB" w:eastAsia="en-US"/>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CSI-IM occasion for each of the CSI-IM resources in the corresponding Resource Set for interference measurement no later than the CSI reference resource and within the same DRX Active Time when DRX is configured, and drops the report otherwise.</w:t>
            </w:r>
          </w:p>
          <w:p>
            <w:pPr>
              <w:spacing w:before="0" w:after="180" w:line="240" w:lineRule="auto"/>
              <w:jc w:val="left"/>
              <w:rPr>
                <w:color w:val="000000"/>
                <w:szCs w:val="20"/>
                <w:lang w:val="en-GB" w:eastAsia="en-US"/>
              </w:rPr>
            </w:pPr>
            <w:r>
              <w:rPr>
                <w:color w:val="000000"/>
                <w:szCs w:val="20"/>
                <w:lang w:val="en-GB" w:eastAsia="en-US"/>
              </w:rPr>
              <w:t xml:space="preserve">For a </w:t>
            </w:r>
            <w:r>
              <w:rPr>
                <w:i/>
                <w:iCs/>
                <w:color w:val="000000"/>
                <w:szCs w:val="20"/>
                <w:lang w:val="en-GB" w:eastAsia="en-US"/>
              </w:rPr>
              <w:t>CSI-ReportConfig</w:t>
            </w:r>
            <w:r>
              <w:rPr>
                <w:color w:val="000000"/>
                <w:szCs w:val="20"/>
                <w:lang w:val="en-GB" w:eastAsia="en-US"/>
              </w:rPr>
              <w:t xml:space="preserve"> configured with </w:t>
            </w:r>
            <w:r>
              <w:rPr>
                <w:i/>
                <w:iCs/>
                <w:color w:val="000000"/>
                <w:szCs w:val="20"/>
                <w:lang w:val="en-GB"/>
              </w:rPr>
              <w:t>codebookType</w:t>
            </w:r>
            <w:r>
              <w:rPr>
                <w:color w:val="000000"/>
                <w:szCs w:val="20"/>
                <w:lang w:val="en-GB"/>
              </w:rPr>
              <w:t xml:space="preserve"> set to </w:t>
            </w:r>
            <w:r>
              <w:rPr>
                <w:rFonts w:eastAsia="MS Mincho"/>
                <w:color w:val="000000"/>
                <w:szCs w:val="20"/>
                <w:lang w:val="en-GB" w:eastAsia="en-US"/>
              </w:rPr>
              <w:t>'typeII-CJT-r18' or 'typeII-CJT-PortSelection-r18'</w:t>
            </w:r>
            <w:r>
              <w:rPr>
                <w:color w:val="000000"/>
                <w:szCs w:val="20"/>
                <w:lang w:val="en-GB" w:eastAsia="en-US"/>
              </w:rPr>
              <w: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pPr>
              <w:snapToGrid w:val="0"/>
              <w:spacing w:before="0" w:after="180" w:line="240" w:lineRule="auto"/>
              <w:rPr>
                <w:iCs/>
                <w:szCs w:val="20"/>
                <w:lang w:val="en-GB" w:eastAsia="en-US"/>
              </w:rPr>
            </w:pPr>
            <w:r>
              <w:rPr>
                <w:iCs/>
                <w:szCs w:val="20"/>
                <w:lang w:val="en-GB" w:eastAsia="en-US"/>
              </w:rPr>
              <w:t xml:space="preserve">For a </w:t>
            </w:r>
            <w:r>
              <w:rPr>
                <w:rFonts w:eastAsia="MS Mincho"/>
                <w:i/>
                <w:color w:val="000000"/>
                <w:szCs w:val="20"/>
                <w:lang w:val="en-GB" w:eastAsia="en-US"/>
              </w:rPr>
              <w:t>CSI-ReportConfig</w:t>
            </w:r>
            <w:r>
              <w:rPr>
                <w:rFonts w:eastAsia="MS Mincho"/>
                <w:color w:val="000000"/>
                <w:szCs w:val="20"/>
                <w:lang w:val="en-GB" w:eastAsia="en-US"/>
              </w:rPr>
              <w:t xml:space="preserve"> configured with </w:t>
            </w:r>
            <w:r>
              <w:rPr>
                <w:i/>
                <w:szCs w:val="20"/>
                <w:lang w:eastAsia="en-US"/>
              </w:rPr>
              <w:t>codebookType</w:t>
            </w:r>
            <w:r>
              <w:rPr>
                <w:szCs w:val="20"/>
                <w:lang w:eastAsia="en-US"/>
              </w:rPr>
              <w:t xml:space="preserve"> set to 'typeII-Doppler-r18' or 'typeII-Doppler-PortSelection-r18'</w:t>
            </w:r>
            <w:r>
              <w:rPr>
                <w:rFonts w:eastAsia="微软雅黑"/>
                <w:iCs/>
                <w:szCs w:val="20"/>
                <w:lang w:val="en-GB" w:eastAsia="en-US"/>
              </w:rPr>
              <w:t>,</w:t>
            </w:r>
            <w:r>
              <w:rPr>
                <w:rFonts w:hint="eastAsia"/>
                <w:iCs/>
                <w:szCs w:val="20"/>
                <w:lang w:val="en-GB" w:eastAsia="en-US"/>
              </w:rPr>
              <w:t xml:space="preserve"> </w:t>
            </w:r>
            <w:r>
              <w:rPr>
                <w:iCs/>
                <w:szCs w:val="20"/>
                <w:lang w:val="en-GB" w:eastAsia="en-US"/>
              </w:rPr>
              <w:t>after the CSI report</w:t>
            </w:r>
            <w:r>
              <w:rPr>
                <w:color w:val="000000"/>
                <w:szCs w:val="20"/>
                <w:lang w:val="en-GB" w:eastAsia="en-US"/>
              </w:rPr>
              <w:t xml:space="preserve"> (re)configuration, serving cell activation, BWP change, or activation of SP-CSI,</w:t>
            </w:r>
            <w:r>
              <w:rPr>
                <w:iCs/>
                <w:szCs w:val="20"/>
                <w:lang w:val="en-GB" w:eastAsia="en-US"/>
              </w:rPr>
              <w:t xml:space="preserve"> </w:t>
            </w:r>
            <w:r>
              <w:rPr>
                <w:rFonts w:hint="eastAsia"/>
                <w:iCs/>
                <w:szCs w:val="20"/>
                <w:lang w:val="en-GB" w:eastAsia="en-US"/>
              </w:rPr>
              <w:t xml:space="preserve">the UE reports a CSI report only if receiving at least </w:t>
            </w:r>
            <w:r>
              <w:rPr>
                <w:iCs/>
                <w:szCs w:val="20"/>
                <w:lang w:val="en-GB" w:eastAsia="en-US"/>
              </w:rPr>
              <w:t xml:space="preserve">one aperiodic or </w:t>
            </w:r>
            <m:oMath>
              <m:sSub>
                <m:sSubPr>
                  <m:ctrlPr>
                    <w:rPr>
                      <w:rFonts w:ascii="Cambria Math" w:hAnsi="Cambria Math"/>
                      <w:i/>
                      <w:iCs/>
                    </w:rPr>
                  </m:ctrlPr>
                </m:sSubPr>
                <m:e>
                  <m:r>
                    <m:rPr/>
                    <w:rPr>
                      <w:rFonts w:ascii="Cambria Math" w:hAnsi="Cambria Math"/>
                    </w:rPr>
                    <m:t>K</m:t>
                  </m:r>
                  <m:ctrlPr>
                    <w:rPr>
                      <w:rFonts w:ascii="Cambria Math" w:hAnsi="Cambria Math"/>
                      <w:i/>
                      <w:iCs/>
                    </w:rPr>
                  </m:ctrlPr>
                </m:e>
                <m:sub>
                  <m:r>
                    <m:rPr/>
                    <w:rPr>
                      <w:rFonts w:ascii="Cambria Math" w:hAnsi="Cambria Math"/>
                    </w:rPr>
                    <m:t>p</m:t>
                  </m:r>
                  <m:ctrlPr>
                    <w:rPr>
                      <w:rFonts w:ascii="Cambria Math" w:hAnsi="Cambria Math"/>
                      <w:i/>
                      <w:iCs/>
                    </w:rPr>
                  </m:ctrlPr>
                </m:sub>
              </m:sSub>
            </m:oMath>
            <w:r>
              <w:rPr>
                <w:iCs/>
                <w:szCs w:val="20"/>
                <w:lang w:val="en-GB" w:eastAsia="en-US"/>
              </w:rPr>
              <w:t xml:space="preserve"> periodic or semipersistent consecutive</w:t>
            </w:r>
            <w:r>
              <w:rPr>
                <w:rFonts w:hint="eastAsia"/>
                <w:iCs/>
                <w:szCs w:val="20"/>
                <w:lang w:val="en-GB" w:eastAsia="en-US"/>
              </w:rPr>
              <w:t xml:space="preserve"> CSI-RS transmission occasion</w:t>
            </w:r>
            <w:r>
              <w:rPr>
                <w:iCs/>
                <w:szCs w:val="20"/>
                <w:lang w:val="en-GB" w:eastAsia="en-US"/>
              </w:rPr>
              <w:t>s</w:t>
            </w:r>
            <w:r>
              <w:rPr>
                <w:rFonts w:hint="eastAsia"/>
                <w:iCs/>
                <w:szCs w:val="20"/>
                <w:lang w:val="en-GB" w:eastAsia="en-US"/>
              </w:rPr>
              <w:t xml:space="preserve"> for</w:t>
            </w:r>
            <w:r>
              <w:rPr>
                <w:iCs/>
                <w:szCs w:val="20"/>
                <w:lang w:val="en-GB" w:eastAsia="en-US"/>
              </w:rPr>
              <w:t xml:space="preserve"> each CSI-RS resource</w:t>
            </w:r>
            <w:r>
              <w:rPr>
                <w:rFonts w:hint="eastAsia"/>
                <w:iCs/>
                <w:szCs w:val="20"/>
                <w:lang w:val="en-GB" w:eastAsia="en-US"/>
              </w:rPr>
              <w:t xml:space="preserve"> </w:t>
            </w:r>
            <w:r>
              <w:rPr>
                <w:iCs/>
                <w:color w:val="000000"/>
                <w:szCs w:val="20"/>
                <w:lang w:val="en-GB" w:eastAsia="en-US"/>
              </w:rPr>
              <w:t>in the corresponding CSI-RS Resource Set for channel measurement</w:t>
            </w:r>
            <w:r>
              <w:rPr>
                <w:iCs/>
                <w:szCs w:val="20"/>
                <w:lang w:val="en-GB" w:eastAsia="en-US"/>
              </w:rPr>
              <w:t xml:space="preserve"> </w:t>
            </w:r>
            <w:r>
              <w:rPr>
                <w:iCs/>
                <w:color w:val="000000"/>
                <w:szCs w:val="20"/>
                <w:lang w:val="en-GB" w:eastAsia="en-US"/>
              </w:rPr>
              <w:t>and one CSI-RS</w:t>
            </w:r>
            <w:r>
              <w:rPr>
                <w:iCs/>
                <w:szCs w:val="20"/>
                <w:lang w:val="en-GB" w:eastAsia="en-US"/>
              </w:rPr>
              <w:t xml:space="preserve"> and/or CSI-IM resource transmission occasion for the CSI-RS and/or CSI-IM resource in the corresponding Resource Set for interference measurement </w:t>
            </w:r>
            <w:r>
              <w:rPr>
                <w:rFonts w:hint="eastAsia"/>
                <w:iCs/>
                <w:szCs w:val="20"/>
                <w:lang w:val="en-GB" w:eastAsia="en-US"/>
              </w:rPr>
              <w:t xml:space="preserve">no later than </w:t>
            </w:r>
            <w:r>
              <w:rPr>
                <w:iCs/>
                <w:szCs w:val="20"/>
                <w:lang w:val="en-GB" w:eastAsia="en-US"/>
              </w:rPr>
              <w:t xml:space="preserve">the </w:t>
            </w:r>
            <w:r>
              <w:rPr>
                <w:rFonts w:hint="eastAsia"/>
                <w:iCs/>
                <w:szCs w:val="20"/>
                <w:lang w:val="en-GB" w:eastAsia="en-US"/>
              </w:rPr>
              <w:t>CSI reference resource</w:t>
            </w:r>
            <w:r>
              <w:rPr>
                <w:color w:val="000000"/>
                <w:szCs w:val="20"/>
                <w:lang w:val="en-GB" w:eastAsia="en-US"/>
              </w:rPr>
              <w:t xml:space="preserve"> and within the same DRX Active Time, when DRX is configured,</w:t>
            </w:r>
            <w:r>
              <w:rPr>
                <w:rFonts w:hint="eastAsia"/>
                <w:iCs/>
                <w:szCs w:val="20"/>
                <w:lang w:val="en-GB" w:eastAsia="en-US"/>
              </w:rPr>
              <w:t xml:space="preserve"> </w:t>
            </w:r>
            <w:r>
              <w:rPr>
                <w:iCs/>
                <w:szCs w:val="20"/>
                <w:lang w:val="en-GB" w:eastAsia="en-US"/>
              </w:rPr>
              <w:t>and</w:t>
            </w:r>
            <w:r>
              <w:rPr>
                <w:rFonts w:hint="eastAsia"/>
                <w:iCs/>
                <w:szCs w:val="20"/>
                <w:lang w:val="en-GB" w:eastAsia="en-US"/>
              </w:rPr>
              <w:t xml:space="preserve"> drops the report otherwise</w:t>
            </w:r>
            <w:r>
              <w:rPr>
                <w:iCs/>
                <w:szCs w:val="20"/>
                <w:lang w:val="en-GB" w:eastAsia="en-US"/>
              </w:rPr>
              <w:t xml:space="preserve">. The value of </w:t>
            </w:r>
            <m:oMath>
              <m:sSub>
                <m:sSubPr>
                  <m:ctrlPr>
                    <w:rPr>
                      <w:rFonts w:ascii="Cambria Math" w:hAnsi="Cambria Math"/>
                      <w:i/>
                      <w:iCs/>
                    </w:rPr>
                  </m:ctrlPr>
                </m:sSubPr>
                <m:e>
                  <m:r>
                    <m:rPr/>
                    <w:rPr>
                      <w:rFonts w:ascii="Cambria Math" w:hAnsi="Cambria Math"/>
                    </w:rPr>
                    <m:t>K</m:t>
                  </m:r>
                  <m:ctrlPr>
                    <w:rPr>
                      <w:rFonts w:ascii="Cambria Math" w:hAnsi="Cambria Math"/>
                      <w:i/>
                      <w:iCs/>
                    </w:rPr>
                  </m:ctrlPr>
                </m:e>
                <m:sub>
                  <m:r>
                    <m:rPr/>
                    <w:rPr>
                      <w:rFonts w:ascii="Cambria Math" w:hAnsi="Cambria Math"/>
                    </w:rPr>
                    <m:t>p</m:t>
                  </m:r>
                  <m:ctrlPr>
                    <w:rPr>
                      <w:rFonts w:ascii="Cambria Math" w:hAnsi="Cambria Math"/>
                      <w:i/>
                      <w:iCs/>
                    </w:rPr>
                  </m:ctrlPr>
                </m:sub>
              </m:sSub>
              <m:r>
                <m:rPr/>
                <w:rPr>
                  <w:rFonts w:ascii="Cambria Math" w:hAnsi="Cambria Math"/>
                </w:rPr>
                <m:t>∈{1,2,4}</m:t>
              </m:r>
            </m:oMath>
            <w:r>
              <w:rPr>
                <w:iCs/>
                <w:szCs w:val="20"/>
                <w:lang w:val="en-GB" w:eastAsia="en-US"/>
              </w:rPr>
              <w:t xml:space="preserve"> is indicated by UE capability, as defined in clause 5.2.1.6.</w:t>
            </w:r>
          </w:p>
          <w:p>
            <w:pPr>
              <w:snapToGrid w:val="0"/>
              <w:spacing w:before="0" w:after="180" w:line="240" w:lineRule="auto"/>
              <w:rPr>
                <w:rFonts w:eastAsia="Batang"/>
                <w:szCs w:val="24"/>
              </w:rPr>
            </w:pPr>
            <w:r>
              <w:rPr>
                <w:iCs/>
                <w:szCs w:val="20"/>
                <w:lang w:val="en-GB" w:eastAsia="en-US"/>
              </w:rPr>
              <w:t xml:space="preserve">For a </w:t>
            </w:r>
            <w:r>
              <w:rPr>
                <w:rFonts w:eastAsia="MS Mincho"/>
                <w:i/>
                <w:color w:val="000000"/>
                <w:szCs w:val="20"/>
                <w:lang w:val="en-GB" w:eastAsia="en-US"/>
              </w:rPr>
              <w:t>CSI-ReportConfig</w:t>
            </w:r>
            <w:r>
              <w:rPr>
                <w:rFonts w:eastAsia="MS Mincho"/>
                <w:color w:val="000000"/>
                <w:szCs w:val="20"/>
                <w:lang w:val="en-GB" w:eastAsia="en-US"/>
              </w:rPr>
              <w:t xml:space="preserve"> configured with </w:t>
            </w:r>
            <w:r>
              <w:rPr>
                <w:color w:val="000000"/>
                <w:szCs w:val="20"/>
                <w:lang w:eastAsia="en-US"/>
              </w:rPr>
              <w:t xml:space="preserve">the higher layer parameter </w:t>
            </w:r>
            <w:r>
              <w:rPr>
                <w:i/>
                <w:iCs/>
                <w:color w:val="000000"/>
                <w:szCs w:val="20"/>
                <w:lang w:eastAsia="en-US"/>
              </w:rPr>
              <w:t xml:space="preserve">reportQuantity </w:t>
            </w:r>
            <w:r>
              <w:rPr>
                <w:iCs/>
                <w:color w:val="000000"/>
                <w:szCs w:val="20"/>
                <w:lang w:eastAsia="en-US"/>
              </w:rPr>
              <w:t xml:space="preserve">set to 'tdcp', after </w:t>
            </w:r>
            <w:r>
              <w:rPr>
                <w:iCs/>
                <w:szCs w:val="20"/>
                <w:lang w:val="en-GB" w:eastAsia="en-US"/>
              </w:rPr>
              <w:t xml:space="preserve">the CSI report </w:t>
            </w:r>
            <w:r>
              <w:rPr>
                <w:color w:val="000000"/>
                <w:szCs w:val="20"/>
                <w:lang w:val="en-GB" w:eastAsia="en-US"/>
              </w:rPr>
              <w:t xml:space="preserve">(re)configuration, serving cell activation, BWP change, the UE reports a CSI report only after receiving at least one CSI-RS transmission occasion for each CSI-RS resource in the </w:t>
            </w:r>
            <m:oMath>
              <m:sSub>
                <m:sSubPr>
                  <m:ctrlPr>
                    <w:rPr>
                      <w:rFonts w:ascii="Cambria Math" w:hAnsi="Cambria Math"/>
                      <w:i/>
                      <w:color w:val="000000"/>
                    </w:rPr>
                  </m:ctrlPr>
                </m:sSubPr>
                <m:e>
                  <m:r>
                    <m:rPr/>
                    <w:rPr>
                      <w:rFonts w:ascii="Cambria Math" w:hAnsi="Cambria Math"/>
                      <w:color w:val="000000"/>
                    </w:rPr>
                    <m:t>K</m:t>
                  </m:r>
                  <m:ctrlPr>
                    <w:rPr>
                      <w:rFonts w:ascii="Cambria Math" w:hAnsi="Cambria Math"/>
                      <w:i/>
                      <w:color w:val="000000"/>
                    </w:rPr>
                  </m:ctrlPr>
                </m:e>
                <m:sub>
                  <m:r>
                    <m:rPr/>
                    <w:rPr>
                      <w:rFonts w:ascii="Cambria Math" w:hAnsi="Cambria Math"/>
                      <w:color w:val="000000"/>
                    </w:rPr>
                    <m:t>TRS</m:t>
                  </m:r>
                  <m:ctrlPr>
                    <w:rPr>
                      <w:rFonts w:ascii="Cambria Math" w:hAnsi="Cambria Math"/>
                      <w:i/>
                      <w:color w:val="000000"/>
                    </w:rPr>
                  </m:ctrlPr>
                </m:sub>
              </m:sSub>
            </m:oMath>
            <w:r>
              <w:rPr>
                <w:color w:val="000000"/>
                <w:szCs w:val="20"/>
                <w:lang w:val="en-GB" w:eastAsia="en-US"/>
              </w:rPr>
              <w:t xml:space="preserve"> CSI-RS Resource Sets of the CSI-RS Resource Setting for channel measurement </w:t>
            </w:r>
            <w:r>
              <w:rPr>
                <w:rFonts w:hint="eastAsia"/>
                <w:iCs/>
                <w:szCs w:val="20"/>
                <w:lang w:val="en-GB" w:eastAsia="en-US"/>
              </w:rPr>
              <w:t xml:space="preserve">no later than </w:t>
            </w:r>
            <w:r>
              <w:rPr>
                <w:iCs/>
                <w:szCs w:val="20"/>
                <w:lang w:val="en-GB" w:eastAsia="en-US"/>
              </w:rPr>
              <w:t xml:space="preserve">the </w:t>
            </w:r>
            <w:r>
              <w:rPr>
                <w:rFonts w:hint="eastAsia"/>
                <w:iCs/>
                <w:szCs w:val="20"/>
                <w:lang w:val="en-GB" w:eastAsia="en-US"/>
              </w:rPr>
              <w:t>CSI reference resource</w:t>
            </w:r>
            <w:r>
              <w:rPr>
                <w:iCs/>
                <w:color w:val="000000"/>
                <w:szCs w:val="20"/>
                <w:lang w:val="en-GB" w:eastAsia="en-US"/>
              </w:rPr>
              <w:t xml:space="preserve"> within the same DRX active time, when DRX is configured, and drop the report otherwise.</w:t>
            </w:r>
          </w:p>
        </w:tc>
      </w:tr>
    </w:tbl>
    <w:p>
      <w:pPr>
        <w:pStyle w:val="112"/>
        <w:ind w:firstLine="0" w:firstLineChars="0"/>
        <w:rPr>
          <w:szCs w:val="24"/>
        </w:rPr>
      </w:pPr>
      <w:r>
        <w:rPr>
          <w:rFonts w:eastAsia="Batang"/>
          <w:szCs w:val="24"/>
        </w:rPr>
        <w:t xml:space="preserve">Similarly, </w:t>
      </w:r>
      <w:r>
        <w:rPr>
          <w:rFonts w:hint="eastAsia"/>
          <w:iCs/>
          <w:szCs w:val="20"/>
        </w:rPr>
        <w:t>the CSI dropping rule for</w:t>
      </w:r>
      <w:r>
        <w:rPr>
          <w:rFonts w:ascii="Times" w:hAnsi="Times" w:eastAsia="Batang"/>
          <w:szCs w:val="20"/>
          <w:lang w:val="en-GB" w:eastAsia="en-US"/>
        </w:rPr>
        <w:t xml:space="preserve"> the Rel-19 Type-I</w:t>
      </w:r>
      <w:r>
        <w:rPr>
          <w:rFonts w:hint="eastAsia" w:ascii="Times" w:hAnsi="Times"/>
          <w:szCs w:val="20"/>
        </w:rPr>
        <w:t>/</w:t>
      </w:r>
      <w:r>
        <w:rPr>
          <w:rFonts w:ascii="Times" w:hAnsi="Times" w:eastAsia="Batang"/>
          <w:szCs w:val="20"/>
          <w:lang w:val="en-GB" w:eastAsia="en-US"/>
        </w:rPr>
        <w:t xml:space="preserve">Type-II </w:t>
      </w:r>
      <w:r>
        <w:rPr>
          <w:rFonts w:hint="eastAsia" w:ascii="Times" w:hAnsi="Times"/>
          <w:szCs w:val="20"/>
        </w:rPr>
        <w:t>codebook</w:t>
      </w:r>
      <w:r>
        <w:rPr>
          <w:rFonts w:hint="eastAsia"/>
          <w:iCs/>
          <w:szCs w:val="20"/>
        </w:rPr>
        <w:t xml:space="preserve"> can f</w:t>
      </w:r>
      <w:r>
        <w:rPr>
          <w:rFonts w:eastAsiaTheme="minorEastAsia"/>
          <w:szCs w:val="24"/>
        </w:rPr>
        <w:t xml:space="preserve">ollow the legacy </w:t>
      </w:r>
      <w:r>
        <w:rPr>
          <w:rFonts w:hint="eastAsia"/>
        </w:rPr>
        <w:t>Rel-17/18 CSI</w:t>
      </w:r>
      <w:r>
        <w:rPr>
          <w:rFonts w:eastAsiaTheme="minorEastAsia"/>
          <w:szCs w:val="24"/>
        </w:rPr>
        <w:t xml:space="preserve"> dropping rule</w:t>
      </w:r>
      <w:r>
        <w:rPr>
          <w:rFonts w:hint="eastAsia" w:eastAsiaTheme="minorEastAsia"/>
          <w:szCs w:val="24"/>
        </w:rPr>
        <w:t>. Therefore, f</w:t>
      </w:r>
      <w:r>
        <w:t xml:space="preserve">or a CSI-ReportConfig configured with </w:t>
      </w:r>
      <w:r>
        <w:rPr>
          <w:i/>
          <w:iCs/>
        </w:rPr>
        <w:t>codebookType</w:t>
      </w:r>
      <w:r>
        <w:t xml:space="preserve"> set to 'typeI-r19' or 'typeII-r19', after</w:t>
      </w:r>
      <w:r>
        <w:rPr>
          <w:rFonts w:hint="eastAsia"/>
        </w:rPr>
        <w:t xml:space="preserve"> </w:t>
      </w:r>
      <w:r>
        <w:t>the CSI report (re)configuration, serving cell activation, BWP change, or activation of SP-CSI, the UE reports a CSI report only after receiving at least one CSI-RS transmission occasion for each of the CSI-RS resources in the</w:t>
      </w:r>
      <w:r>
        <w:rPr>
          <w:rFonts w:hint="eastAsia"/>
        </w:rPr>
        <w:t xml:space="preserve"> </w:t>
      </w:r>
      <w:r>
        <w:t xml:space="preserve">corresponding CSI-RS </w:t>
      </w:r>
      <w:r>
        <w:rPr>
          <w:rFonts w:hint="eastAsia"/>
        </w:rPr>
        <w:t>r</w:t>
      </w:r>
      <w:r>
        <w:t xml:space="preserve">esource </w:t>
      </w:r>
      <w:r>
        <w:rPr>
          <w:rFonts w:hint="eastAsia"/>
        </w:rPr>
        <w:t>s</w:t>
      </w:r>
      <w:r>
        <w:t xml:space="preserve">et for channel measurement and </w:t>
      </w:r>
      <w:r>
        <w:rPr>
          <w:szCs w:val="20"/>
          <w:lang w:val="en-GB" w:eastAsia="en-US"/>
        </w:rPr>
        <w:t xml:space="preserve">at least one </w:t>
      </w:r>
      <w:r>
        <w:t>one CSI-RS and/or CSI-IM resource transmission</w:t>
      </w:r>
      <w:r>
        <w:rPr>
          <w:rFonts w:hint="eastAsia"/>
        </w:rPr>
        <w:t xml:space="preserve"> </w:t>
      </w:r>
      <w:r>
        <w:t>occasion for each of the CSI-RS and/or CSI-IM resource in the corresponding Resource Set for interference measurement no</w:t>
      </w:r>
      <w:r>
        <w:rPr>
          <w:rFonts w:hint="eastAsia"/>
        </w:rPr>
        <w:t xml:space="preserve"> </w:t>
      </w:r>
      <w:r>
        <w:t xml:space="preserve">later than the CSI reference resource and within the same DRX </w:t>
      </w:r>
      <w:r>
        <w:rPr>
          <w:rFonts w:hint="eastAsia"/>
        </w:rPr>
        <w:t>a</w:t>
      </w:r>
      <w:r>
        <w:t xml:space="preserve">ctive </w:t>
      </w:r>
      <w:r>
        <w:rPr>
          <w:rFonts w:hint="eastAsia"/>
        </w:rPr>
        <w:t>t</w:t>
      </w:r>
      <w:r>
        <w:t>ime, when DRX is configured, and drops the</w:t>
      </w:r>
      <w:r>
        <w:rPr>
          <w:rFonts w:hint="eastAsia"/>
        </w:rPr>
        <w:t xml:space="preserve"> </w:t>
      </w:r>
      <w:r>
        <w:t>report otherwise</w:t>
      </w:r>
      <w:r>
        <w:rPr>
          <w:rFonts w:hint="eastAsia"/>
          <w:color w:val="000000"/>
          <w:szCs w:val="20"/>
        </w:rPr>
        <w:t>.</w:t>
      </w:r>
    </w:p>
    <w:p>
      <w:pPr>
        <w:pStyle w:val="112"/>
        <w:ind w:firstLine="0" w:firstLineChars="0"/>
        <w:rPr>
          <w:rFonts w:eastAsiaTheme="minorEastAsia"/>
          <w:i/>
          <w:iCs/>
          <w:szCs w:val="20"/>
        </w:rPr>
      </w:pPr>
      <w:r>
        <w:rPr>
          <w:rFonts w:hint="eastAsia" w:eastAsia="Batang"/>
          <w:b/>
          <w:bCs/>
          <w:i/>
          <w:iCs/>
          <w:szCs w:val="24"/>
        </w:rPr>
        <w:t>Proposal 3:</w:t>
      </w:r>
      <w:r>
        <w:rPr>
          <w:rFonts w:hint="eastAsia" w:eastAsia="Batang"/>
          <w:i/>
          <w:iCs/>
          <w:szCs w:val="24"/>
        </w:rPr>
        <w:t xml:space="preserve"> F</w:t>
      </w:r>
      <w:r>
        <w:rPr>
          <w:rFonts w:eastAsia="Batang"/>
          <w:i/>
          <w:iCs/>
          <w:szCs w:val="20"/>
          <w:lang w:val="en-GB" w:eastAsia="en-US"/>
        </w:rPr>
        <w:t xml:space="preserve">or </w:t>
      </w:r>
      <w:r>
        <w:rPr>
          <w:rFonts w:ascii="Times" w:hAnsi="Times" w:eastAsia="Batang"/>
          <w:i/>
          <w:iCs/>
          <w:szCs w:val="20"/>
          <w:lang w:val="en-GB" w:eastAsia="en-US"/>
        </w:rPr>
        <w:t>the Rel-19 Type-I and Type-II codebook refinement for 48, 64, and 128 CSI-RS ports</w:t>
      </w:r>
      <w:r>
        <w:rPr>
          <w:rFonts w:hint="eastAsia"/>
          <w:i/>
          <w:iCs/>
          <w:szCs w:val="20"/>
        </w:rPr>
        <w:t>,</w:t>
      </w:r>
      <w:r>
        <w:rPr>
          <w:i/>
          <w:iCs/>
          <w:szCs w:val="20"/>
        </w:rPr>
        <w:t xml:space="preserve"> the following C</w:t>
      </w:r>
      <w:r>
        <w:rPr>
          <w:rFonts w:hint="eastAsia"/>
          <w:i/>
          <w:iCs/>
          <w:szCs w:val="20"/>
        </w:rPr>
        <w:t xml:space="preserve">SI dropping rule </w:t>
      </w:r>
      <w:r>
        <w:rPr>
          <w:i/>
          <w:iCs/>
          <w:szCs w:val="20"/>
        </w:rPr>
        <w:t>is supported</w:t>
      </w:r>
      <w:r>
        <w:rPr>
          <w:rFonts w:hint="eastAsia" w:eastAsiaTheme="minorEastAsia"/>
          <w:i/>
          <w:iCs/>
          <w:szCs w:val="24"/>
        </w:rPr>
        <w:t>.</w:t>
      </w:r>
    </w:p>
    <w:p>
      <w:pPr>
        <w:pStyle w:val="112"/>
        <w:numPr>
          <w:ilvl w:val="0"/>
          <w:numId w:val="13"/>
        </w:numPr>
        <w:snapToGrid w:val="0"/>
        <w:spacing w:before="0" w:after="0"/>
        <w:ind w:left="839" w:firstLineChars="0"/>
        <w:rPr>
          <w:rFonts w:eastAsia="Batang"/>
        </w:rPr>
      </w:pPr>
      <w:r>
        <w:rPr>
          <w:rFonts w:hint="eastAsia"/>
          <w:i/>
          <w:iCs/>
        </w:rPr>
        <w:t>F</w:t>
      </w:r>
      <w:r>
        <w:rPr>
          <w:i/>
          <w:iCs/>
        </w:rPr>
        <w:t>or a CSI-ReportConfig configured with codebookType set to 'typeI-r19' or 'typeII-r19', after</w:t>
      </w:r>
      <w:r>
        <w:rPr>
          <w:rFonts w:hint="eastAsia"/>
          <w:i/>
          <w:iCs/>
        </w:rPr>
        <w:t xml:space="preserve"> </w:t>
      </w:r>
      <w:r>
        <w:rPr>
          <w:i/>
          <w:iCs/>
        </w:rPr>
        <w:t>the CSI report (re)configuration, serving cell activation, BWP change, or activation of SP-CSI, the UE reports a CSI report only after receiving at least one CSI-RS transmission occasion for each of the CSI-RS resources in the</w:t>
      </w:r>
      <w:r>
        <w:rPr>
          <w:rFonts w:hint="eastAsia"/>
          <w:i/>
          <w:iCs/>
        </w:rPr>
        <w:t xml:space="preserve"> </w:t>
      </w:r>
      <w:r>
        <w:rPr>
          <w:i/>
          <w:iCs/>
        </w:rPr>
        <w:t>corresponding CSI-RS resource set for channel measurement and at least one CSI-RS and/or CSI-IM resource transmission</w:t>
      </w:r>
      <w:r>
        <w:rPr>
          <w:rFonts w:hint="eastAsia"/>
          <w:i/>
          <w:iCs/>
        </w:rPr>
        <w:t xml:space="preserve"> </w:t>
      </w:r>
      <w:r>
        <w:rPr>
          <w:i/>
          <w:iCs/>
        </w:rPr>
        <w:t>occasion for each of the CSI-RS and/or CSI-IM resources in the corresponding resource set for interference measurement no</w:t>
      </w:r>
      <w:r>
        <w:rPr>
          <w:rFonts w:hint="eastAsia"/>
          <w:i/>
          <w:iCs/>
        </w:rPr>
        <w:t xml:space="preserve"> </w:t>
      </w:r>
      <w:r>
        <w:rPr>
          <w:i/>
          <w:iCs/>
        </w:rPr>
        <w:t xml:space="preserve">later than the CSI reference resource and within the same DRX </w:t>
      </w:r>
      <w:r>
        <w:rPr>
          <w:rFonts w:hint="eastAsia"/>
          <w:i/>
          <w:iCs/>
        </w:rPr>
        <w:t>a</w:t>
      </w:r>
      <w:r>
        <w:rPr>
          <w:i/>
          <w:iCs/>
        </w:rPr>
        <w:t xml:space="preserve">ctive </w:t>
      </w:r>
      <w:r>
        <w:rPr>
          <w:rFonts w:hint="eastAsia"/>
          <w:i/>
          <w:iCs/>
        </w:rPr>
        <w:t>t</w:t>
      </w:r>
      <w:r>
        <w:rPr>
          <w:i/>
          <w:iCs/>
        </w:rPr>
        <w:t>ime, when DRX is configured, and drops the</w:t>
      </w:r>
      <w:r>
        <w:rPr>
          <w:rFonts w:hint="eastAsia"/>
          <w:i/>
          <w:iCs/>
        </w:rPr>
        <w:t xml:space="preserve"> </w:t>
      </w:r>
      <w:r>
        <w:rPr>
          <w:i/>
          <w:iCs/>
        </w:rPr>
        <w:t>report otherwise</w:t>
      </w:r>
      <w:r>
        <w:rPr>
          <w:rFonts w:hint="eastAsia"/>
          <w:i/>
          <w:iCs/>
        </w:rPr>
        <w:t>.</w:t>
      </w:r>
    </w:p>
    <w:p>
      <w:pPr>
        <w:numPr>
          <w:ilvl w:val="1"/>
          <w:numId w:val="8"/>
        </w:numPr>
        <w:snapToGrid w:val="0"/>
        <w:spacing w:before="240" w:afterLines="50" w:line="240" w:lineRule="auto"/>
        <w:outlineLvl w:val="1"/>
        <w:rPr>
          <w:b/>
          <w:bCs/>
          <w:sz w:val="21"/>
          <w:szCs w:val="21"/>
        </w:rPr>
      </w:pPr>
      <w:r>
        <w:rPr>
          <w:b/>
          <w:sz w:val="24"/>
          <w:szCs w:val="20"/>
          <w:lang w:eastAsia="en-US"/>
        </w:rPr>
        <w:t xml:space="preserve">CRI-based CSI reporting for hybrid beamforming </w:t>
      </w:r>
      <w:r>
        <w:rPr>
          <w:rFonts w:hint="eastAsia"/>
          <w:b/>
          <w:sz w:val="24"/>
          <w:szCs w:val="20"/>
        </w:rPr>
        <w:t>for</w:t>
      </w:r>
      <w:r>
        <w:rPr>
          <w:b/>
          <w:sz w:val="24"/>
          <w:szCs w:val="20"/>
          <w:lang w:eastAsia="en-US"/>
        </w:rPr>
        <w:t xml:space="preserve"> up to 128 CSI-RS ports</w:t>
      </w:r>
    </w:p>
    <w:p>
      <w:pPr>
        <w:pStyle w:val="112"/>
        <w:numPr>
          <w:ilvl w:val="2"/>
          <w:numId w:val="8"/>
        </w:numPr>
        <w:snapToGrid w:val="0"/>
        <w:spacing w:before="72" w:beforeLines="30" w:after="72" w:afterLines="30" w:line="300" w:lineRule="auto"/>
        <w:ind w:firstLineChars="0"/>
        <w:textAlignment w:val="center"/>
        <w:outlineLvl w:val="2"/>
        <w:rPr>
          <w:b/>
          <w:bCs/>
          <w:sz w:val="21"/>
          <w:szCs w:val="21"/>
        </w:rPr>
      </w:pPr>
      <w:r>
        <w:rPr>
          <w:b/>
          <w:bCs/>
          <w:sz w:val="21"/>
          <w:szCs w:val="21"/>
        </w:rPr>
        <w:t>CMR configuration</w:t>
      </w:r>
    </w:p>
    <w:p>
      <w:pPr>
        <w:pStyle w:val="112"/>
        <w:ind w:firstLine="0" w:firstLineChars="0"/>
      </w:pPr>
      <w:r>
        <w:rPr>
          <w:rFonts w:hint="eastAsia"/>
        </w:rPr>
        <w:t>Regarding CMR configuration, f</w:t>
      </w:r>
      <w:r>
        <w:rPr>
          <w:rFonts w:ascii="Times" w:hAnsi="Times" w:eastAsia="Batang"/>
          <w:iCs/>
          <w:szCs w:val="20"/>
          <w:lang w:val="en-GB" w:eastAsia="en-US"/>
        </w:rPr>
        <w:t>or the Rel-19 CRI-based CSI refinement for up to 128 CSI-RS ports</w:t>
      </w:r>
      <w:r>
        <w:rPr>
          <w:rFonts w:hint="eastAsia" w:ascii="Times" w:hAnsi="Times"/>
          <w:iCs/>
          <w:szCs w:val="20"/>
        </w:rPr>
        <w:t xml:space="preserve">, </w:t>
      </w:r>
      <w:r>
        <w:rPr>
          <w:rFonts w:hint="eastAsia"/>
        </w:rPr>
        <w:t>the following agreements were reached in RAN1#117 and RAN1#118 meeting.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szCs w:val="20"/>
                <w:u w:val="single"/>
              </w:rPr>
            </w:pPr>
            <w:r>
              <w:rPr>
                <w:b/>
                <w:szCs w:val="20"/>
                <w:u w:val="single"/>
              </w:rPr>
              <w:t>Agreement</w:t>
            </w:r>
            <w:r>
              <w:rPr>
                <w:rFonts w:hint="eastAsia"/>
                <w:b/>
                <w:szCs w:val="20"/>
                <w:u w:val="single"/>
              </w:rPr>
              <w:t xml:space="preserve"> </w:t>
            </w:r>
            <w:r>
              <w:rPr>
                <w:b/>
                <w:szCs w:val="20"/>
                <w:u w:val="single"/>
              </w:rPr>
              <w:t>(RAN1#11</w:t>
            </w:r>
            <w:r>
              <w:rPr>
                <w:rFonts w:hint="eastAsia"/>
                <w:b/>
                <w:szCs w:val="20"/>
                <w:u w:val="single"/>
              </w:rPr>
              <w:t>7</w:t>
            </w:r>
            <w:r>
              <w:rPr>
                <w:b/>
                <w:szCs w:val="20"/>
                <w:u w:val="single"/>
              </w:rPr>
              <w:t>)</w:t>
            </w:r>
          </w:p>
          <w:p>
            <w:pPr>
              <w:snapToGrid w:val="0"/>
              <w:spacing w:before="0" w:after="0" w:line="240" w:lineRule="exact"/>
              <w:jc w:val="left"/>
              <w:rPr>
                <w:rFonts w:eastAsia="Batang"/>
                <w:szCs w:val="20"/>
                <w:lang w:val="en-GB" w:eastAsia="en-US"/>
              </w:rPr>
            </w:pPr>
            <w:r>
              <w:rPr>
                <w:rFonts w:eastAsia="Batang"/>
                <w:iCs/>
                <w:szCs w:val="20"/>
                <w:lang w:val="en-GB" w:eastAsia="en-US"/>
              </w:rPr>
              <w:t xml:space="preserve">For the Rel-19 CRI-based CSI refinement for up to 128 CSI-RS ports, for A-CSI only, the </w:t>
            </w:r>
            <w:r>
              <w:rPr>
                <w:rFonts w:eastAsia="Batang"/>
                <w:szCs w:val="20"/>
                <w:lang w:val="en-GB" w:eastAsia="en-US"/>
              </w:rPr>
              <w:t xml:space="preserve">NW can configure </w:t>
            </w:r>
            <w:r>
              <w:rPr>
                <w:rFonts w:eastAsia="Batang"/>
                <w:i/>
                <w:iCs/>
                <w:szCs w:val="20"/>
                <w:lang w:val="en-GB" w:eastAsia="en-US"/>
              </w:rPr>
              <w:t>M</w:t>
            </w:r>
            <w:r>
              <w:rPr>
                <w:rFonts w:eastAsia="Batang"/>
                <w:i/>
                <w:iCs/>
                <w:szCs w:val="20"/>
                <w:vertAlign w:val="subscript"/>
                <w:lang w:val="en-GB" w:eastAsia="en-US"/>
              </w:rPr>
              <w:t>R</w:t>
            </w:r>
            <w:r>
              <w:rPr>
                <w:rFonts w:eastAsia="Batang"/>
                <w:szCs w:val="20"/>
                <w:lang w:val="en-GB" w:eastAsia="en-US"/>
              </w:rPr>
              <w:t xml:space="preserve"> (&lt;</w:t>
            </w:r>
            <w:r>
              <w:rPr>
                <w:rFonts w:eastAsia="Batang"/>
                <w:i/>
                <w:iCs/>
                <w:szCs w:val="20"/>
                <w:lang w:val="en-GB" w:eastAsia="en-US"/>
              </w:rPr>
              <w:t>M</w:t>
            </w:r>
            <w:r>
              <w:rPr>
                <w:rFonts w:eastAsia="Batang"/>
                <w:szCs w:val="20"/>
                <w:lang w:val="en-GB" w:eastAsia="en-US"/>
              </w:rPr>
              <w:t xml:space="preserve">) of </w:t>
            </w:r>
            <w:r>
              <w:rPr>
                <w:rFonts w:eastAsia="Batang"/>
                <w:i/>
                <w:iCs/>
                <w:szCs w:val="20"/>
                <w:lang w:val="en-GB" w:eastAsia="en-US"/>
              </w:rPr>
              <w:t>K</w:t>
            </w:r>
            <w:r>
              <w:rPr>
                <w:rFonts w:eastAsia="Batang"/>
                <w:i/>
                <w:iCs/>
                <w:szCs w:val="20"/>
                <w:vertAlign w:val="subscript"/>
                <w:lang w:val="en-GB" w:eastAsia="en-US"/>
              </w:rPr>
              <w:t>S</w:t>
            </w:r>
            <w:r>
              <w:rPr>
                <w:rFonts w:eastAsia="Batang"/>
                <w:szCs w:val="20"/>
                <w:lang w:val="en-GB" w:eastAsia="en-US"/>
              </w:rPr>
              <w:t xml:space="preserve"> CSI-RS resources to be selected as part of reporting the </w:t>
            </w:r>
            <w:r>
              <w:rPr>
                <w:rFonts w:eastAsia="Batang"/>
                <w:i/>
                <w:iCs/>
                <w:szCs w:val="20"/>
                <w:lang w:val="en-GB" w:eastAsia="en-US"/>
              </w:rPr>
              <w:t>M</w:t>
            </w:r>
            <w:r>
              <w:rPr>
                <w:rFonts w:eastAsia="Batang"/>
                <w:iCs/>
                <w:szCs w:val="20"/>
                <w:lang w:val="en-GB" w:eastAsia="en-US"/>
              </w:rPr>
              <w:t xml:space="preserve"> “quadruplets”</w:t>
            </w:r>
            <w:r>
              <w:rPr>
                <w:rFonts w:eastAsia="Batang"/>
                <w:szCs w:val="20"/>
                <w:lang w:val="en-GB" w:eastAsia="en-US"/>
              </w:rPr>
              <w:t xml:space="preserve">: </w:t>
            </w:r>
          </w:p>
          <w:p>
            <w:pPr>
              <w:widowControl w:val="0"/>
              <w:numPr>
                <w:ilvl w:val="0"/>
                <w:numId w:val="14"/>
              </w:numPr>
              <w:snapToGrid w:val="0"/>
              <w:spacing w:before="0" w:after="0" w:line="240" w:lineRule="exact"/>
              <w:ind w:left="726" w:hanging="363"/>
              <w:rPr>
                <w:rFonts w:eastAsia="Batang"/>
                <w:kern w:val="2"/>
                <w:szCs w:val="20"/>
                <w:lang w:val="en-GB"/>
              </w:rPr>
            </w:pPr>
            <w:r>
              <w:rPr>
                <w:rFonts w:eastAsia="Batang"/>
                <w:kern w:val="2"/>
                <w:szCs w:val="20"/>
                <w:lang w:val="en-GB"/>
              </w:rPr>
              <w:t>(</w:t>
            </w:r>
            <w:r>
              <w:rPr>
                <w:rFonts w:eastAsia="Batang"/>
                <w:i/>
                <w:iCs/>
                <w:kern w:val="2"/>
                <w:szCs w:val="20"/>
                <w:lang w:val="en-GB"/>
              </w:rPr>
              <w:t>M–M</w:t>
            </w:r>
            <w:r>
              <w:rPr>
                <w:rFonts w:eastAsia="Batang"/>
                <w:i/>
                <w:iCs/>
                <w:kern w:val="2"/>
                <w:szCs w:val="20"/>
                <w:vertAlign w:val="subscript"/>
                <w:lang w:val="en-GB"/>
              </w:rPr>
              <w:t>R</w:t>
            </w:r>
            <w:r>
              <w:rPr>
                <w:rFonts w:eastAsia="Batang"/>
                <w:kern w:val="2"/>
                <w:szCs w:val="20"/>
                <w:lang w:val="en-GB"/>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m:rPr/>
                        <w:rPr>
                          <w:rFonts w:ascii="Cambria Math" w:hAnsi="Cambria Math"/>
                          <w:szCs w:val="20"/>
                        </w:rPr>
                        <m:t>log</m:t>
                      </m:r>
                      <m:ctrlPr>
                        <w:rPr>
                          <w:rFonts w:ascii="Cambria Math" w:hAnsi="Cambria Math"/>
                          <w:i/>
                          <w:iCs/>
                          <w:szCs w:val="20"/>
                        </w:rPr>
                      </m:ctrlPr>
                    </m:e>
                    <m:sub>
                      <m:r>
                        <m:rPr/>
                        <w:rPr>
                          <w:rFonts w:ascii="Cambria Math" w:hAnsi="Cambria Math"/>
                          <w:szCs w:val="20"/>
                        </w:rPr>
                        <m:t>2</m:t>
                      </m:r>
                      <m:ctrlPr>
                        <w:rPr>
                          <w:rFonts w:ascii="Cambria Math" w:hAnsi="Cambria Math"/>
                          <w:i/>
                          <w:iCs/>
                          <w:szCs w:val="20"/>
                        </w:rPr>
                      </m:ctrlPr>
                    </m:sub>
                  </m:sSub>
                  <m:d>
                    <m:dPr>
                      <m:ctrlPr>
                        <w:rPr>
                          <w:rFonts w:ascii="Cambria Math" w:hAnsi="Cambria Math"/>
                          <w:i/>
                          <w:iCs/>
                          <w:szCs w:val="20"/>
                        </w:rPr>
                      </m:ctrlPr>
                    </m:dPr>
                    <m:e>
                      <m:sSub>
                        <m:sSubPr>
                          <m:ctrlPr>
                            <w:rPr>
                              <w:rFonts w:ascii="Cambria Math" w:hAnsi="Cambria Math"/>
                              <w:i/>
                              <w:iCs/>
                              <w:szCs w:val="20"/>
                            </w:rPr>
                          </m:ctrlPr>
                        </m:sSubPr>
                        <m:e>
                          <m:r>
                            <m:rPr/>
                            <w:rPr>
                              <w:rFonts w:ascii="Cambria Math" w:hAnsi="Cambria Math"/>
                              <w:szCs w:val="20"/>
                            </w:rPr>
                            <m:t>K</m:t>
                          </m:r>
                          <m:ctrlPr>
                            <w:rPr>
                              <w:rFonts w:ascii="Cambria Math" w:hAnsi="Cambria Math"/>
                              <w:i/>
                              <w:iCs/>
                              <w:szCs w:val="20"/>
                            </w:rPr>
                          </m:ctrlPr>
                        </m:e>
                        <m:sub>
                          <m:r>
                            <m:rPr/>
                            <w:rPr>
                              <w:rFonts w:ascii="Cambria Math" w:hAnsi="Cambria Math"/>
                              <w:szCs w:val="20"/>
                            </w:rPr>
                            <m:t>S</m:t>
                          </m:r>
                          <m:ctrlPr>
                            <w:rPr>
                              <w:rFonts w:ascii="Cambria Math" w:hAnsi="Cambria Math"/>
                              <w:i/>
                              <w:iCs/>
                              <w:szCs w:val="20"/>
                            </w:rPr>
                          </m:ctrlPr>
                        </m:sub>
                      </m:sSub>
                      <m:r>
                        <m:rPr/>
                        <w:rPr>
                          <w:rFonts w:ascii="Cambria Math" w:hAnsi="Cambria Math"/>
                          <w:szCs w:val="20"/>
                        </w:rPr>
                        <m:t>−</m:t>
                      </m:r>
                      <m:sSub>
                        <m:sSubPr>
                          <m:ctrlPr>
                            <w:rPr>
                              <w:rFonts w:ascii="Cambria Math" w:hAnsi="Cambria Math"/>
                              <w:i/>
                              <w:iCs/>
                              <w:szCs w:val="20"/>
                            </w:rPr>
                          </m:ctrlPr>
                        </m:sSubPr>
                        <m:e>
                          <m:r>
                            <m:rPr/>
                            <w:rPr>
                              <w:rFonts w:ascii="Cambria Math" w:hAnsi="Cambria Math"/>
                              <w:szCs w:val="20"/>
                            </w:rPr>
                            <m:t>M</m:t>
                          </m:r>
                          <m:ctrlPr>
                            <w:rPr>
                              <w:rFonts w:ascii="Cambria Math" w:hAnsi="Cambria Math"/>
                              <w:i/>
                              <w:iCs/>
                              <w:szCs w:val="20"/>
                            </w:rPr>
                          </m:ctrlPr>
                        </m:e>
                        <m:sub>
                          <m:r>
                            <m:rPr/>
                            <w:rPr>
                              <w:rFonts w:ascii="Cambria Math" w:hAnsi="Cambria Math"/>
                              <w:szCs w:val="20"/>
                            </w:rPr>
                            <m:t>R</m:t>
                          </m:r>
                          <m:ctrlPr>
                            <w:rPr>
                              <w:rFonts w:ascii="Cambria Math" w:hAnsi="Cambria Math"/>
                              <w:i/>
                              <w:iCs/>
                              <w:szCs w:val="20"/>
                            </w:rPr>
                          </m:ctrlPr>
                        </m:sub>
                      </m:sSub>
                      <m:ctrlPr>
                        <w:rPr>
                          <w:rFonts w:ascii="Cambria Math" w:hAnsi="Cambria Math"/>
                          <w:i/>
                          <w:iCs/>
                          <w:szCs w:val="20"/>
                        </w:rPr>
                      </m:ctrlPr>
                    </m:e>
                  </m:d>
                  <m:ctrlPr>
                    <w:rPr>
                      <w:rFonts w:ascii="Cambria Math" w:hAnsi="Cambria Math"/>
                      <w:i/>
                      <w:iCs/>
                      <w:szCs w:val="20"/>
                    </w:rPr>
                  </m:ctrlPr>
                </m:e>
              </m:d>
            </m:oMath>
            <w:r>
              <w:rPr>
                <w:rFonts w:eastAsia="Batang"/>
                <w:kern w:val="2"/>
                <w:szCs w:val="20"/>
                <w:lang w:val="en-GB"/>
              </w:rPr>
              <w:t xml:space="preserve"> bits are reported, along with the </w:t>
            </w:r>
            <w:r>
              <w:rPr>
                <w:rFonts w:eastAsia="Batang"/>
                <w:i/>
                <w:kern w:val="2"/>
                <w:szCs w:val="20"/>
                <w:lang w:val="en-GB"/>
              </w:rPr>
              <w:t>M</w:t>
            </w:r>
            <w:r>
              <w:rPr>
                <w:rFonts w:eastAsia="Batang"/>
                <w:kern w:val="2"/>
                <w:szCs w:val="20"/>
                <w:lang w:val="en-GB"/>
              </w:rPr>
              <w:t xml:space="preserve"> sets of CQI/PMI/RI/(if applicable) LI</w:t>
            </w:r>
          </w:p>
          <w:p>
            <w:pPr>
              <w:widowControl w:val="0"/>
              <w:numPr>
                <w:ilvl w:val="0"/>
                <w:numId w:val="14"/>
              </w:numPr>
              <w:snapToGrid w:val="0"/>
              <w:spacing w:before="0" w:after="0" w:line="240" w:lineRule="exact"/>
              <w:ind w:left="726" w:hanging="363"/>
              <w:rPr>
                <w:rFonts w:eastAsia="Batang"/>
                <w:kern w:val="2"/>
                <w:szCs w:val="20"/>
                <w:lang w:val="en-GB"/>
              </w:rPr>
            </w:pPr>
            <w:r>
              <w:rPr>
                <w:rFonts w:eastAsia="Batang"/>
                <w:kern w:val="2"/>
                <w:szCs w:val="20"/>
                <w:lang w:val="en-GB"/>
              </w:rPr>
              <w:t xml:space="preserve">The value of </w:t>
            </w:r>
            <w:r>
              <w:rPr>
                <w:rFonts w:eastAsia="Batang"/>
                <w:i/>
                <w:iCs/>
                <w:kern w:val="2"/>
                <w:szCs w:val="20"/>
                <w:lang w:val="en-GB"/>
              </w:rPr>
              <w:t>M</w:t>
            </w:r>
            <w:r>
              <w:rPr>
                <w:rFonts w:eastAsia="Batang"/>
                <w:i/>
                <w:iCs/>
                <w:kern w:val="2"/>
                <w:szCs w:val="20"/>
                <w:vertAlign w:val="subscript"/>
                <w:lang w:val="en-GB"/>
              </w:rPr>
              <w:t>R</w:t>
            </w:r>
            <w:r>
              <w:rPr>
                <w:rFonts w:eastAsia="Batang"/>
                <w:kern w:val="2"/>
                <w:szCs w:val="20"/>
                <w:lang w:val="en-GB"/>
              </w:rPr>
              <w:t xml:space="preserve"> is NW-configured via higher-layer (RRC) signaling</w:t>
            </w:r>
          </w:p>
          <w:p>
            <w:pPr>
              <w:widowControl w:val="0"/>
              <w:numPr>
                <w:ilvl w:val="0"/>
                <w:numId w:val="14"/>
              </w:numPr>
              <w:snapToGrid w:val="0"/>
              <w:spacing w:before="0" w:after="0" w:line="240" w:lineRule="exact"/>
              <w:ind w:left="726" w:hanging="363"/>
              <w:rPr>
                <w:rFonts w:eastAsia="Batang"/>
                <w:kern w:val="2"/>
                <w:szCs w:val="20"/>
                <w:lang w:val="en-GB"/>
              </w:rPr>
            </w:pPr>
            <w:r>
              <w:rPr>
                <w:rFonts w:eastAsia="Batang"/>
                <w:kern w:val="2"/>
                <w:szCs w:val="20"/>
                <w:lang w:val="en-GB"/>
              </w:rPr>
              <w:t xml:space="preserve">The </w:t>
            </w:r>
            <w:r>
              <w:rPr>
                <w:rFonts w:eastAsia="Batang"/>
                <w:i/>
                <w:iCs/>
                <w:kern w:val="2"/>
                <w:szCs w:val="20"/>
                <w:lang w:val="en-GB"/>
              </w:rPr>
              <w:t>M</w:t>
            </w:r>
            <w:r>
              <w:rPr>
                <w:rFonts w:eastAsia="Batang"/>
                <w:i/>
                <w:iCs/>
                <w:kern w:val="2"/>
                <w:szCs w:val="20"/>
                <w:vertAlign w:val="subscript"/>
                <w:lang w:val="en-GB"/>
              </w:rPr>
              <w:t>R</w:t>
            </w:r>
            <w:r>
              <w:rPr>
                <w:rFonts w:eastAsia="Batang"/>
                <w:kern w:val="2"/>
                <w:szCs w:val="20"/>
                <w:lang w:val="en-GB"/>
              </w:rPr>
              <w:t xml:space="preserve"> selected resources are NW-configured via higher-layer (RRC) signaling </w:t>
            </w:r>
          </w:p>
          <w:p>
            <w:pPr>
              <w:widowControl w:val="0"/>
              <w:numPr>
                <w:ilvl w:val="0"/>
                <w:numId w:val="14"/>
              </w:numPr>
              <w:snapToGrid w:val="0"/>
              <w:spacing w:before="0" w:after="0" w:line="240" w:lineRule="exact"/>
              <w:ind w:left="726" w:hanging="363"/>
              <w:rPr>
                <w:rFonts w:eastAsia="Batang"/>
                <w:kern w:val="2"/>
                <w:szCs w:val="20"/>
                <w:lang w:val="en-GB"/>
              </w:rPr>
            </w:pPr>
            <w:r>
              <w:rPr>
                <w:rFonts w:eastAsia="Batang"/>
                <w:kern w:val="2"/>
                <w:szCs w:val="20"/>
                <w:lang w:val="en-GB"/>
              </w:rPr>
              <w:t xml:space="preserve">FFS: value of </w:t>
            </w:r>
            <w:r>
              <w:rPr>
                <w:rFonts w:eastAsia="Batang"/>
                <w:i/>
                <w:iCs/>
                <w:kern w:val="2"/>
                <w:szCs w:val="20"/>
                <w:lang w:val="en-GB"/>
              </w:rPr>
              <w:t>M</w:t>
            </w:r>
            <w:r>
              <w:rPr>
                <w:rFonts w:eastAsia="Batang"/>
                <w:i/>
                <w:iCs/>
                <w:kern w:val="2"/>
                <w:szCs w:val="20"/>
                <w:vertAlign w:val="subscript"/>
                <w:lang w:val="en-GB"/>
              </w:rPr>
              <w:t>R</w:t>
            </w:r>
          </w:p>
          <w:p>
            <w:pPr>
              <w:widowControl w:val="0"/>
              <w:numPr>
                <w:ilvl w:val="0"/>
                <w:numId w:val="14"/>
              </w:numPr>
              <w:snapToGrid w:val="0"/>
              <w:spacing w:before="0" w:after="0" w:line="240" w:lineRule="exact"/>
              <w:ind w:left="726" w:hanging="363"/>
              <w:rPr>
                <w:rFonts w:eastAsia="Batang"/>
                <w:kern w:val="2"/>
                <w:szCs w:val="20"/>
                <w:lang w:val="en-GB"/>
              </w:rPr>
            </w:pPr>
            <w:r>
              <w:rPr>
                <w:rFonts w:eastAsia="Batang"/>
                <w:kern w:val="2"/>
                <w:szCs w:val="20"/>
                <w:lang w:val="en-GB"/>
              </w:rPr>
              <w:t>This is an optional UE capability</w:t>
            </w:r>
          </w:p>
          <w:p>
            <w:pPr>
              <w:snapToGrid w:val="0"/>
              <w:rPr>
                <w:rFonts w:eastAsia="Batang"/>
                <w:kern w:val="2"/>
                <w:szCs w:val="20"/>
                <w:lang w:val="en-GB"/>
              </w:rPr>
            </w:pPr>
            <w:r>
              <w:rPr>
                <w:b/>
                <w:szCs w:val="20"/>
                <w:u w:val="single"/>
              </w:rPr>
              <w:t>Agreement</w:t>
            </w:r>
            <w:r>
              <w:rPr>
                <w:rFonts w:hint="eastAsia"/>
                <w:b/>
                <w:szCs w:val="20"/>
                <w:u w:val="single"/>
              </w:rPr>
              <w:t xml:space="preserve"> </w:t>
            </w:r>
            <w:r>
              <w:rPr>
                <w:b/>
                <w:szCs w:val="20"/>
                <w:u w:val="single"/>
              </w:rPr>
              <w:t>(RAN1#11</w:t>
            </w:r>
            <w:r>
              <w:rPr>
                <w:rFonts w:hint="eastAsia"/>
                <w:b/>
                <w:szCs w:val="20"/>
                <w:u w:val="single"/>
              </w:rPr>
              <w:t>8</w:t>
            </w:r>
            <w:r>
              <w:rPr>
                <w:b/>
                <w:szCs w:val="20"/>
                <w:u w:val="single"/>
              </w:rPr>
              <w:t>)</w:t>
            </w:r>
          </w:p>
          <w:p>
            <w:pPr>
              <w:widowControl w:val="0"/>
              <w:snapToGrid w:val="0"/>
              <w:spacing w:before="0" w:after="0" w:line="240" w:lineRule="auto"/>
              <w:jc w:val="left"/>
              <w:rPr>
                <w:rFonts w:ascii="Times" w:hAnsi="Times" w:eastAsia="Batang"/>
                <w:iCs/>
                <w:szCs w:val="20"/>
                <w:vertAlign w:val="subscript"/>
                <w:lang w:val="en-GB" w:eastAsia="en-US"/>
              </w:rPr>
            </w:pPr>
            <w:r>
              <w:rPr>
                <w:rFonts w:ascii="Times" w:hAnsi="Times" w:eastAsia="Batang"/>
                <w:iCs/>
                <w:szCs w:val="20"/>
                <w:lang w:val="en-GB" w:eastAsia="en-US"/>
              </w:rPr>
              <w:t>For the Rel-19 CRI-based CSI refinement for up to 128 CSI-RS ports, if M</w:t>
            </w:r>
            <w:r>
              <w:rPr>
                <w:rFonts w:ascii="Times" w:hAnsi="Times" w:eastAsia="Batang"/>
                <w:iCs/>
                <w:szCs w:val="20"/>
                <w:vertAlign w:val="subscript"/>
                <w:lang w:val="en-GB" w:eastAsia="en-US"/>
              </w:rPr>
              <w:t xml:space="preserve">R </w:t>
            </w:r>
            <w:r>
              <w:rPr>
                <w:rFonts w:ascii="Times" w:hAnsi="Times" w:eastAsia="Batang"/>
                <w:iCs/>
                <w:szCs w:val="20"/>
                <w:lang w:val="en-GB" w:eastAsia="en-US"/>
              </w:rPr>
              <w:t>is configured, the supported value(s) of M</w:t>
            </w:r>
            <w:r>
              <w:rPr>
                <w:rFonts w:ascii="Times" w:hAnsi="Times" w:eastAsia="Batang"/>
                <w:iCs/>
                <w:szCs w:val="20"/>
                <w:vertAlign w:val="subscript"/>
                <w:lang w:val="en-GB" w:eastAsia="en-US"/>
              </w:rPr>
              <w:t xml:space="preserve">R </w:t>
            </w:r>
            <w:r>
              <w:rPr>
                <w:rFonts w:ascii="Times" w:hAnsi="Times" w:eastAsia="Batang"/>
                <w:iCs/>
                <w:szCs w:val="20"/>
                <w:lang w:val="en-GB" w:eastAsia="en-US"/>
              </w:rPr>
              <w:t>are as follows:</w:t>
            </w:r>
          </w:p>
          <w:p>
            <w:pPr>
              <w:widowControl w:val="0"/>
              <w:numPr>
                <w:ilvl w:val="0"/>
                <w:numId w:val="15"/>
              </w:numPr>
              <w:snapToGrid w:val="0"/>
              <w:rPr>
                <w:rFonts w:ascii="Times" w:hAnsi="Times" w:eastAsia="Malgun Gothic"/>
                <w:iCs/>
                <w:szCs w:val="20"/>
                <w:lang w:val="en-GB"/>
              </w:rPr>
            </w:pPr>
            <w:r>
              <w:rPr>
                <w:rFonts w:ascii="Times" w:hAnsi="Times" w:eastAsia="Malgun Gothic"/>
                <w:iCs/>
                <w:szCs w:val="20"/>
                <w:lang w:val="en-GB"/>
              </w:rPr>
              <w:t>Rel-15 Type-I SP: {1, 2}</w:t>
            </w:r>
          </w:p>
          <w:p>
            <w:pPr>
              <w:widowControl w:val="0"/>
              <w:numPr>
                <w:ilvl w:val="0"/>
                <w:numId w:val="15"/>
              </w:numPr>
              <w:snapToGrid w:val="0"/>
              <w:rPr>
                <w:rFonts w:eastAsia="Batang"/>
                <w:kern w:val="2"/>
                <w:szCs w:val="20"/>
                <w:lang w:val="en-GB"/>
              </w:rPr>
            </w:pPr>
            <w:r>
              <w:rPr>
                <w:rFonts w:ascii="Times" w:hAnsi="Times" w:eastAsia="Malgun Gothic"/>
                <w:iCs/>
                <w:szCs w:val="20"/>
                <w:lang w:val="en-GB"/>
              </w:rPr>
              <w:t>Rel-16 eType-II: {1}</w:t>
            </w:r>
          </w:p>
        </w:tc>
      </w:tr>
    </w:tbl>
    <w:p>
      <w:pPr>
        <w:pStyle w:val="112"/>
        <w:ind w:firstLine="0" w:firstLineChars="0"/>
      </w:pPr>
      <w:r>
        <w:rPr>
          <w:rFonts w:hint="eastAsia"/>
        </w:rPr>
        <w:t xml:space="preserve">As reflected in these agreements, </w:t>
      </w:r>
      <w:r>
        <w:rPr>
          <w:rFonts w:eastAsia="Batang"/>
          <w:iCs/>
          <w:szCs w:val="20"/>
          <w:lang w:val="en-GB" w:eastAsia="en-US"/>
        </w:rPr>
        <w:t xml:space="preserve">the </w:t>
      </w:r>
      <w:r>
        <w:rPr>
          <w:rFonts w:eastAsia="Batang"/>
          <w:szCs w:val="20"/>
          <w:lang w:val="en-GB" w:eastAsia="en-US"/>
        </w:rPr>
        <w:t xml:space="preserve">NW can configure </w:t>
      </w:r>
      <w:r>
        <w:rPr>
          <w:rFonts w:eastAsia="Batang"/>
          <w:i/>
          <w:iCs/>
          <w:szCs w:val="20"/>
          <w:lang w:val="en-GB" w:eastAsia="en-US"/>
        </w:rPr>
        <w:t>M</w:t>
      </w:r>
      <w:r>
        <w:rPr>
          <w:rFonts w:eastAsia="Batang"/>
          <w:i/>
          <w:iCs/>
          <w:szCs w:val="20"/>
          <w:vertAlign w:val="subscript"/>
          <w:lang w:val="en-GB" w:eastAsia="en-US"/>
        </w:rPr>
        <w:t>R</w:t>
      </w:r>
      <w:r>
        <w:rPr>
          <w:rFonts w:eastAsia="Batang"/>
          <w:szCs w:val="20"/>
          <w:lang w:val="en-GB" w:eastAsia="en-US"/>
        </w:rPr>
        <w:t xml:space="preserve"> (&lt;</w:t>
      </w:r>
      <w:r>
        <w:rPr>
          <w:rFonts w:eastAsia="Batang"/>
          <w:i/>
          <w:iCs/>
          <w:szCs w:val="20"/>
          <w:lang w:val="en-GB" w:eastAsia="en-US"/>
        </w:rPr>
        <w:t>M</w:t>
      </w:r>
      <w:r>
        <w:rPr>
          <w:rFonts w:eastAsia="Batang"/>
          <w:szCs w:val="20"/>
          <w:lang w:val="en-GB" w:eastAsia="en-US"/>
        </w:rPr>
        <w:t xml:space="preserve">) of </w:t>
      </w:r>
      <w:r>
        <w:rPr>
          <w:rFonts w:eastAsia="Batang"/>
          <w:i/>
          <w:iCs/>
          <w:szCs w:val="20"/>
          <w:lang w:val="en-GB" w:eastAsia="en-US"/>
        </w:rPr>
        <w:t>K</w:t>
      </w:r>
      <w:r>
        <w:rPr>
          <w:rFonts w:eastAsia="Batang"/>
          <w:i/>
          <w:iCs/>
          <w:szCs w:val="20"/>
          <w:vertAlign w:val="subscript"/>
          <w:lang w:val="en-GB" w:eastAsia="en-US"/>
        </w:rPr>
        <w:t>S</w:t>
      </w:r>
      <w:r>
        <w:rPr>
          <w:rFonts w:eastAsia="Batang"/>
          <w:szCs w:val="20"/>
          <w:lang w:val="en-GB" w:eastAsia="en-US"/>
        </w:rPr>
        <w:t xml:space="preserve"> CSI-RS resources to be selected as part of reporting the </w:t>
      </w:r>
      <w:r>
        <w:rPr>
          <w:rFonts w:eastAsia="Batang"/>
          <w:i/>
          <w:iCs/>
          <w:szCs w:val="20"/>
          <w:lang w:val="en-GB" w:eastAsia="en-US"/>
        </w:rPr>
        <w:t>M</w:t>
      </w:r>
      <w:r>
        <w:rPr>
          <w:rFonts w:eastAsia="Batang"/>
          <w:iCs/>
          <w:szCs w:val="20"/>
          <w:lang w:val="en-GB" w:eastAsia="en-US"/>
        </w:rPr>
        <w:t xml:space="preserve"> “quadruplets”</w:t>
      </w:r>
      <w:r>
        <w:rPr>
          <w:rFonts w:hint="eastAsia"/>
          <w:iCs/>
          <w:szCs w:val="20"/>
        </w:rPr>
        <w:t xml:space="preserve"> and t</w:t>
      </w:r>
      <w:r>
        <w:rPr>
          <w:rFonts w:eastAsia="Batang"/>
          <w:kern w:val="2"/>
          <w:szCs w:val="20"/>
          <w:lang w:val="en-GB"/>
        </w:rPr>
        <w:t xml:space="preserve">he </w:t>
      </w:r>
      <w:r>
        <w:rPr>
          <w:rFonts w:eastAsia="Batang"/>
          <w:i/>
          <w:iCs/>
          <w:kern w:val="2"/>
          <w:szCs w:val="20"/>
          <w:lang w:val="en-GB"/>
        </w:rPr>
        <w:t>M</w:t>
      </w:r>
      <w:r>
        <w:rPr>
          <w:rFonts w:eastAsia="Batang"/>
          <w:i/>
          <w:iCs/>
          <w:kern w:val="2"/>
          <w:szCs w:val="20"/>
          <w:vertAlign w:val="subscript"/>
          <w:lang w:val="en-GB"/>
        </w:rPr>
        <w:t>R</w:t>
      </w:r>
      <w:r>
        <w:rPr>
          <w:rFonts w:eastAsia="Batang"/>
          <w:kern w:val="2"/>
          <w:szCs w:val="20"/>
          <w:lang w:val="en-GB"/>
        </w:rPr>
        <w:t xml:space="preserve"> selected resources are NW-configured via higher-layer (RRC) signaling</w:t>
      </w:r>
      <w:r>
        <w:rPr>
          <w:rFonts w:hint="eastAsia" w:eastAsia="Batang"/>
          <w:kern w:val="2"/>
          <w:szCs w:val="20"/>
        </w:rPr>
        <w:t>. However, how to indicate the</w:t>
      </w:r>
      <w:r>
        <w:rPr>
          <w:rFonts w:eastAsia="Batang"/>
          <w:kern w:val="2"/>
          <w:szCs w:val="20"/>
          <w:lang w:val="en-GB"/>
        </w:rPr>
        <w:t xml:space="preserve"> </w:t>
      </w:r>
      <w:r>
        <w:rPr>
          <w:rFonts w:eastAsia="Batang"/>
          <w:i/>
          <w:iCs/>
          <w:kern w:val="2"/>
          <w:szCs w:val="20"/>
          <w:lang w:val="en-GB"/>
        </w:rPr>
        <w:t>M</w:t>
      </w:r>
      <w:r>
        <w:rPr>
          <w:rFonts w:eastAsia="Batang"/>
          <w:i/>
          <w:iCs/>
          <w:kern w:val="2"/>
          <w:szCs w:val="20"/>
          <w:vertAlign w:val="subscript"/>
          <w:lang w:val="en-GB"/>
        </w:rPr>
        <w:t>R</w:t>
      </w:r>
      <w:r>
        <w:rPr>
          <w:rFonts w:eastAsia="Batang"/>
          <w:kern w:val="2"/>
          <w:szCs w:val="20"/>
          <w:lang w:val="en-GB"/>
        </w:rPr>
        <w:t xml:space="preserve"> selected </w:t>
      </w:r>
      <w:r>
        <w:rPr>
          <w:rFonts w:eastAsia="Batang"/>
          <w:szCs w:val="20"/>
          <w:lang w:val="en-GB" w:eastAsia="en-US"/>
        </w:rPr>
        <w:t>CSI-RS</w:t>
      </w:r>
      <w:r>
        <w:rPr>
          <w:rFonts w:hint="eastAsia"/>
          <w:szCs w:val="20"/>
        </w:rPr>
        <w:t xml:space="preserve"> </w:t>
      </w:r>
      <w:r>
        <w:rPr>
          <w:rFonts w:eastAsia="Batang"/>
          <w:kern w:val="2"/>
          <w:szCs w:val="20"/>
          <w:lang w:val="en-GB"/>
        </w:rPr>
        <w:t>resources</w:t>
      </w:r>
      <w:r>
        <w:rPr>
          <w:rFonts w:hint="eastAsia" w:eastAsia="Batang"/>
          <w:kern w:val="2"/>
          <w:szCs w:val="20"/>
        </w:rPr>
        <w:t xml:space="preserve"> from </w:t>
      </w:r>
      <w:r>
        <w:rPr>
          <w:rFonts w:eastAsia="Batang"/>
          <w:i/>
          <w:iCs/>
          <w:szCs w:val="20"/>
          <w:lang w:val="en-GB" w:eastAsia="en-US"/>
        </w:rPr>
        <w:t>K</w:t>
      </w:r>
      <w:r>
        <w:rPr>
          <w:rFonts w:eastAsia="Batang"/>
          <w:i/>
          <w:iCs/>
          <w:szCs w:val="20"/>
          <w:vertAlign w:val="subscript"/>
          <w:lang w:val="en-GB" w:eastAsia="en-US"/>
        </w:rPr>
        <w:t>S</w:t>
      </w:r>
      <w:r>
        <w:rPr>
          <w:rFonts w:eastAsia="Batang"/>
          <w:szCs w:val="20"/>
          <w:lang w:val="en-GB" w:eastAsia="en-US"/>
        </w:rPr>
        <w:t xml:space="preserve"> CSI-RS resources</w:t>
      </w:r>
      <w:r>
        <w:rPr>
          <w:rFonts w:hint="eastAsia" w:eastAsia="Batang"/>
          <w:kern w:val="2"/>
          <w:szCs w:val="20"/>
        </w:rPr>
        <w:t xml:space="preserve"> is unclear. For explicit configuration, a </w:t>
      </w:r>
      <w:r>
        <w:rPr>
          <w:rFonts w:eastAsia="Batang"/>
          <w:i/>
          <w:iCs/>
          <w:szCs w:val="20"/>
          <w:lang w:val="en-GB" w:eastAsia="en-US"/>
        </w:rPr>
        <w:t>K</w:t>
      </w:r>
      <w:r>
        <w:rPr>
          <w:rFonts w:eastAsia="Batang"/>
          <w:i/>
          <w:iCs/>
          <w:szCs w:val="20"/>
          <w:vertAlign w:val="subscript"/>
          <w:lang w:val="en-GB" w:eastAsia="en-US"/>
        </w:rPr>
        <w:t>S</w:t>
      </w:r>
      <w:r>
        <w:rPr>
          <w:rFonts w:hint="eastAsia" w:eastAsia="Batang"/>
          <w:kern w:val="2"/>
          <w:szCs w:val="20"/>
        </w:rPr>
        <w:t>-bit bitmap can be introduced to indicate the</w:t>
      </w:r>
      <w:r>
        <w:rPr>
          <w:rFonts w:eastAsia="Batang"/>
          <w:kern w:val="2"/>
          <w:szCs w:val="20"/>
          <w:lang w:val="en-GB"/>
        </w:rPr>
        <w:t xml:space="preserve"> </w:t>
      </w:r>
      <w:r>
        <w:rPr>
          <w:rFonts w:eastAsia="Batang"/>
          <w:i/>
          <w:iCs/>
          <w:kern w:val="2"/>
          <w:szCs w:val="20"/>
          <w:lang w:val="en-GB"/>
        </w:rPr>
        <w:t>M</w:t>
      </w:r>
      <w:r>
        <w:rPr>
          <w:rFonts w:eastAsia="Batang"/>
          <w:i/>
          <w:iCs/>
          <w:kern w:val="2"/>
          <w:szCs w:val="20"/>
          <w:vertAlign w:val="subscript"/>
          <w:lang w:val="en-GB"/>
        </w:rPr>
        <w:t>R</w:t>
      </w:r>
      <w:r>
        <w:rPr>
          <w:rFonts w:eastAsia="Batang"/>
          <w:kern w:val="2"/>
          <w:szCs w:val="20"/>
          <w:lang w:val="en-GB"/>
        </w:rPr>
        <w:t xml:space="preserve"> selected </w:t>
      </w:r>
      <w:r>
        <w:rPr>
          <w:rFonts w:eastAsia="Batang"/>
          <w:szCs w:val="20"/>
          <w:lang w:val="en-GB" w:eastAsia="en-US"/>
        </w:rPr>
        <w:t>CSI-RS</w:t>
      </w:r>
      <w:r>
        <w:rPr>
          <w:rFonts w:hint="eastAsia"/>
          <w:szCs w:val="20"/>
        </w:rPr>
        <w:t xml:space="preserve"> </w:t>
      </w:r>
      <w:r>
        <w:rPr>
          <w:rFonts w:eastAsia="Batang"/>
          <w:kern w:val="2"/>
          <w:szCs w:val="20"/>
          <w:lang w:val="en-GB"/>
        </w:rPr>
        <w:t>resources</w:t>
      </w:r>
      <w:r>
        <w:rPr>
          <w:rFonts w:hint="eastAsia" w:eastAsia="Batang"/>
          <w:kern w:val="2"/>
          <w:szCs w:val="20"/>
        </w:rPr>
        <w:t xml:space="preserve"> from </w:t>
      </w:r>
      <w:r>
        <w:rPr>
          <w:rFonts w:eastAsia="Batang"/>
          <w:i/>
          <w:iCs/>
          <w:szCs w:val="20"/>
          <w:lang w:val="en-GB" w:eastAsia="en-US"/>
        </w:rPr>
        <w:t>K</w:t>
      </w:r>
      <w:r>
        <w:rPr>
          <w:rFonts w:eastAsia="Batang"/>
          <w:i/>
          <w:iCs/>
          <w:szCs w:val="20"/>
          <w:vertAlign w:val="subscript"/>
          <w:lang w:val="en-GB" w:eastAsia="en-US"/>
        </w:rPr>
        <w:t>S</w:t>
      </w:r>
      <w:r>
        <w:rPr>
          <w:rFonts w:eastAsia="Batang"/>
          <w:szCs w:val="20"/>
          <w:lang w:val="en-GB" w:eastAsia="en-US"/>
        </w:rPr>
        <w:t xml:space="preserve"> CSI-RS resources</w:t>
      </w:r>
      <w:r>
        <w:rPr>
          <w:rFonts w:hint="eastAsia"/>
          <w:szCs w:val="20"/>
        </w:rPr>
        <w:t xml:space="preserve">. Considering that </w:t>
      </w:r>
      <w:r>
        <w:rPr>
          <w:rFonts w:ascii="Times" w:hAnsi="Times" w:eastAsia="Batang"/>
          <w:iCs/>
          <w:szCs w:val="20"/>
          <w:lang w:val="en-GB" w:eastAsia="en-US"/>
        </w:rPr>
        <w:t xml:space="preserve">the supported value(s) of </w:t>
      </w:r>
      <w:r>
        <w:rPr>
          <w:rFonts w:eastAsia="Batang"/>
          <w:i/>
          <w:iCs/>
          <w:kern w:val="2"/>
          <w:szCs w:val="20"/>
          <w:lang w:val="en-GB"/>
        </w:rPr>
        <w:t>M</w:t>
      </w:r>
      <w:r>
        <w:rPr>
          <w:rFonts w:eastAsia="Batang"/>
          <w:i/>
          <w:iCs/>
          <w:kern w:val="2"/>
          <w:szCs w:val="20"/>
          <w:vertAlign w:val="subscript"/>
          <w:lang w:val="en-GB"/>
        </w:rPr>
        <w:t>R</w:t>
      </w:r>
      <w:r>
        <w:rPr>
          <w:rFonts w:ascii="Times" w:hAnsi="Times" w:eastAsia="Batang"/>
          <w:iCs/>
          <w:szCs w:val="20"/>
          <w:vertAlign w:val="subscript"/>
          <w:lang w:val="en-GB" w:eastAsia="en-US"/>
        </w:rPr>
        <w:t xml:space="preserve"> </w:t>
      </w:r>
      <w:r>
        <w:rPr>
          <w:rFonts w:hint="eastAsia" w:ascii="Times" w:hAnsi="Times"/>
          <w:iCs/>
          <w:szCs w:val="20"/>
        </w:rPr>
        <w:t xml:space="preserve">is 1 or 2, </w:t>
      </w:r>
      <w:r>
        <w:rPr>
          <w:rFonts w:eastAsia="Batang"/>
          <w:i/>
          <w:iCs/>
          <w:szCs w:val="20"/>
          <w:lang w:val="en-GB" w:eastAsia="en-US"/>
        </w:rPr>
        <w:t>K</w:t>
      </w:r>
      <w:r>
        <w:rPr>
          <w:rFonts w:eastAsia="Batang"/>
          <w:i/>
          <w:iCs/>
          <w:szCs w:val="20"/>
          <w:vertAlign w:val="subscript"/>
          <w:lang w:val="en-GB" w:eastAsia="en-US"/>
        </w:rPr>
        <w:t>S</w:t>
      </w:r>
      <w:r>
        <w:rPr>
          <w:rFonts w:hint="eastAsia" w:eastAsia="Batang"/>
          <w:kern w:val="2"/>
          <w:szCs w:val="20"/>
        </w:rPr>
        <w:t xml:space="preserve">-bit bitmap is redundant. For implicit configuration, the first </w:t>
      </w:r>
      <w:r>
        <w:rPr>
          <w:rFonts w:eastAsia="Batang"/>
          <w:i/>
          <w:iCs/>
          <w:kern w:val="2"/>
          <w:szCs w:val="20"/>
          <w:lang w:val="en-GB"/>
        </w:rPr>
        <w:t>M</w:t>
      </w:r>
      <w:r>
        <w:rPr>
          <w:rFonts w:eastAsia="Batang"/>
          <w:i/>
          <w:iCs/>
          <w:kern w:val="2"/>
          <w:szCs w:val="20"/>
          <w:vertAlign w:val="subscript"/>
          <w:lang w:val="en-GB"/>
        </w:rPr>
        <w:t>R</w:t>
      </w:r>
      <w:r>
        <w:rPr>
          <w:rFonts w:eastAsia="Batang"/>
          <w:kern w:val="2"/>
          <w:szCs w:val="20"/>
          <w:lang w:val="en-GB"/>
        </w:rPr>
        <w:t xml:space="preserve"> </w:t>
      </w:r>
      <w:r>
        <w:rPr>
          <w:rFonts w:eastAsia="Batang"/>
          <w:szCs w:val="20"/>
          <w:lang w:val="en-GB" w:eastAsia="en-US"/>
        </w:rPr>
        <w:t>CSI-RS</w:t>
      </w:r>
      <w:r>
        <w:rPr>
          <w:rFonts w:hint="eastAsia"/>
          <w:szCs w:val="20"/>
        </w:rPr>
        <w:t xml:space="preserve"> </w:t>
      </w:r>
      <w:r>
        <w:rPr>
          <w:rFonts w:eastAsia="Batang"/>
          <w:kern w:val="2"/>
          <w:szCs w:val="20"/>
          <w:lang w:val="en-GB"/>
        </w:rPr>
        <w:t>resources</w:t>
      </w:r>
      <w:r>
        <w:rPr>
          <w:rFonts w:hint="eastAsia" w:eastAsia="Batang"/>
          <w:kern w:val="2"/>
          <w:szCs w:val="20"/>
        </w:rPr>
        <w:t xml:space="preserve"> in the CSI-RS resource set can be regarded as </w:t>
      </w:r>
      <w:r>
        <w:rPr>
          <w:rFonts w:hint="eastAsia"/>
          <w:iCs/>
          <w:szCs w:val="20"/>
        </w:rPr>
        <w:t>t</w:t>
      </w:r>
      <w:r>
        <w:rPr>
          <w:rFonts w:eastAsia="Batang"/>
          <w:kern w:val="2"/>
          <w:szCs w:val="20"/>
          <w:lang w:val="en-GB"/>
        </w:rPr>
        <w:t xml:space="preserve">he </w:t>
      </w:r>
      <w:r>
        <w:rPr>
          <w:rFonts w:eastAsia="Batang"/>
          <w:i/>
          <w:iCs/>
          <w:kern w:val="2"/>
          <w:szCs w:val="20"/>
          <w:lang w:val="en-GB"/>
        </w:rPr>
        <w:t>M</w:t>
      </w:r>
      <w:r>
        <w:rPr>
          <w:rFonts w:eastAsia="Batang"/>
          <w:i/>
          <w:iCs/>
          <w:kern w:val="2"/>
          <w:szCs w:val="20"/>
          <w:vertAlign w:val="subscript"/>
          <w:lang w:val="en-GB"/>
        </w:rPr>
        <w:t>R</w:t>
      </w:r>
      <w:r>
        <w:rPr>
          <w:rFonts w:eastAsia="Batang"/>
          <w:kern w:val="2"/>
          <w:szCs w:val="20"/>
          <w:lang w:val="en-GB"/>
        </w:rPr>
        <w:t xml:space="preserve"> selected resources</w:t>
      </w:r>
      <w:r>
        <w:rPr>
          <w:rFonts w:hint="eastAsia" w:eastAsia="Batang"/>
          <w:kern w:val="2"/>
          <w:szCs w:val="20"/>
        </w:rPr>
        <w:t>. In addition, t</w:t>
      </w:r>
      <w:r>
        <w:rPr>
          <w:rFonts w:hint="eastAsia"/>
        </w:rPr>
        <w:t xml:space="preserve">he value of </w:t>
      </w:r>
      <w:r>
        <w:rPr>
          <w:rFonts w:eastAsia="Batang"/>
          <w:i/>
          <w:iCs/>
          <w:kern w:val="2"/>
          <w:szCs w:val="20"/>
          <w:lang w:val="en-GB"/>
        </w:rPr>
        <w:t>M</w:t>
      </w:r>
      <w:r>
        <w:rPr>
          <w:rFonts w:eastAsia="Batang"/>
          <w:i/>
          <w:iCs/>
          <w:kern w:val="2"/>
          <w:szCs w:val="20"/>
          <w:vertAlign w:val="subscript"/>
          <w:lang w:val="en-GB"/>
        </w:rPr>
        <w:t>R</w:t>
      </w:r>
      <w:r>
        <w:rPr>
          <w:rFonts w:hint="eastAsia"/>
        </w:rPr>
        <w:softHyphen/>
      </w:r>
      <w:r>
        <w:rPr>
          <w:rFonts w:hint="eastAsia"/>
        </w:rPr>
        <w:t xml:space="preserve"> is indicated by a RRC parameter.</w:t>
      </w:r>
    </w:p>
    <w:p>
      <w:pPr>
        <w:pStyle w:val="112"/>
        <w:ind w:firstLine="0" w:firstLineChars="0"/>
        <w:rPr>
          <w:i/>
          <w:iCs/>
          <w:szCs w:val="24"/>
        </w:rPr>
      </w:pPr>
      <w:r>
        <w:rPr>
          <w:rFonts w:hint="eastAsia"/>
          <w:b/>
          <w:bCs/>
          <w:i/>
          <w:iCs/>
          <w:szCs w:val="20"/>
        </w:rPr>
        <w:t>Proposal 4:</w:t>
      </w:r>
      <w:r>
        <w:rPr>
          <w:rFonts w:hint="eastAsia"/>
          <w:i/>
          <w:iCs/>
          <w:szCs w:val="20"/>
        </w:rPr>
        <w:t xml:space="preserve"> </w:t>
      </w:r>
      <w:r>
        <w:rPr>
          <w:rFonts w:eastAsia="Malgun Gothic"/>
          <w:i/>
          <w:iCs/>
          <w:szCs w:val="20"/>
          <w:lang w:val="en-GB" w:eastAsia="ko-KR"/>
        </w:rPr>
        <w:t xml:space="preserve">For the Rel-19 CRI-based CSI refinement for up to 128 CSI-RS ports, regarding </w:t>
      </w:r>
      <w:r>
        <w:rPr>
          <w:rFonts w:hint="eastAsia"/>
          <w:i/>
          <w:iCs/>
          <w:szCs w:val="20"/>
        </w:rPr>
        <w:t>indicating th</w:t>
      </w:r>
      <w:r>
        <w:rPr>
          <w:rFonts w:eastAsia="Batang"/>
          <w:i/>
          <w:iCs/>
          <w:szCs w:val="20"/>
          <w:lang w:val="en-GB" w:eastAsia="en-US"/>
        </w:rPr>
        <w:t>e M</w:t>
      </w:r>
      <w:r>
        <w:rPr>
          <w:rFonts w:eastAsia="Batang"/>
          <w:i/>
          <w:iCs/>
          <w:szCs w:val="20"/>
          <w:vertAlign w:val="subscript"/>
          <w:lang w:val="en-GB" w:eastAsia="en-US"/>
        </w:rPr>
        <w:t>R</w:t>
      </w:r>
      <w:r>
        <w:rPr>
          <w:rFonts w:eastAsia="Batang"/>
          <w:i/>
          <w:iCs/>
          <w:szCs w:val="20"/>
          <w:lang w:val="en-GB" w:eastAsia="en-US"/>
        </w:rPr>
        <w:t xml:space="preserve"> (&lt;M) of K</w:t>
      </w:r>
      <w:r>
        <w:rPr>
          <w:rFonts w:eastAsia="Batang"/>
          <w:i/>
          <w:iCs/>
          <w:szCs w:val="20"/>
          <w:vertAlign w:val="subscript"/>
          <w:lang w:val="en-GB" w:eastAsia="en-US"/>
        </w:rPr>
        <w:t>S</w:t>
      </w:r>
      <w:r>
        <w:rPr>
          <w:rFonts w:eastAsia="Batang"/>
          <w:i/>
          <w:iCs/>
          <w:szCs w:val="20"/>
          <w:lang w:val="en-GB" w:eastAsia="en-US"/>
        </w:rPr>
        <w:t xml:space="preserve"> CSI-RS resources selected as part of reporting the M “quadruplets”</w:t>
      </w:r>
      <w:r>
        <w:rPr>
          <w:rFonts w:hint="eastAsia"/>
          <w:i/>
          <w:iCs/>
          <w:szCs w:val="20"/>
        </w:rPr>
        <w:t>:</w:t>
      </w:r>
    </w:p>
    <w:p>
      <w:pPr>
        <w:pStyle w:val="112"/>
        <w:numPr>
          <w:ilvl w:val="0"/>
          <w:numId w:val="13"/>
        </w:numPr>
        <w:snapToGrid w:val="0"/>
        <w:spacing w:before="0" w:after="0"/>
        <w:ind w:left="839" w:firstLineChars="0"/>
        <w:rPr>
          <w:i/>
          <w:iCs/>
          <w:lang w:val="en-GB"/>
        </w:rPr>
      </w:pPr>
      <w:r>
        <w:rPr>
          <w:rFonts w:hint="eastAsia"/>
          <w:i/>
          <w:iCs/>
        </w:rPr>
        <w:t xml:space="preserve">The value of </w:t>
      </w:r>
      <w:r>
        <w:rPr>
          <w:rFonts w:eastAsia="Batang"/>
          <w:i/>
          <w:iCs/>
          <w:kern w:val="2"/>
          <w:szCs w:val="20"/>
          <w:lang w:val="en-GB"/>
        </w:rPr>
        <w:t>M</w:t>
      </w:r>
      <w:r>
        <w:rPr>
          <w:rFonts w:eastAsia="Batang"/>
          <w:i/>
          <w:iCs/>
          <w:kern w:val="2"/>
          <w:szCs w:val="20"/>
          <w:vertAlign w:val="subscript"/>
          <w:lang w:val="en-GB"/>
        </w:rPr>
        <w:t>R</w:t>
      </w:r>
      <w:r>
        <w:rPr>
          <w:rFonts w:hint="eastAsia"/>
          <w:i/>
          <w:iCs/>
        </w:rPr>
        <w:softHyphen/>
      </w:r>
      <w:r>
        <w:rPr>
          <w:rFonts w:hint="eastAsia"/>
          <w:i/>
          <w:iCs/>
        </w:rPr>
        <w:t xml:space="preserve"> is indicated by a RRC parameter.</w:t>
      </w:r>
    </w:p>
    <w:p>
      <w:pPr>
        <w:pStyle w:val="112"/>
        <w:numPr>
          <w:ilvl w:val="0"/>
          <w:numId w:val="13"/>
        </w:numPr>
        <w:snapToGrid w:val="0"/>
        <w:spacing w:before="0" w:after="0"/>
        <w:ind w:left="839" w:firstLineChars="0"/>
      </w:pPr>
      <w:r>
        <w:rPr>
          <w:rFonts w:hint="eastAsia" w:eastAsia="Batang"/>
          <w:i/>
          <w:iCs/>
          <w:kern w:val="2"/>
          <w:szCs w:val="20"/>
        </w:rPr>
        <w:t xml:space="preserve">The first </w:t>
      </w:r>
      <w:r>
        <w:rPr>
          <w:rFonts w:eastAsia="Batang"/>
          <w:i/>
          <w:iCs/>
          <w:kern w:val="2"/>
          <w:szCs w:val="20"/>
          <w:lang w:val="en-GB"/>
        </w:rPr>
        <w:t>M</w:t>
      </w:r>
      <w:r>
        <w:rPr>
          <w:rFonts w:eastAsia="Batang"/>
          <w:i/>
          <w:iCs/>
          <w:kern w:val="2"/>
          <w:szCs w:val="20"/>
          <w:vertAlign w:val="subscript"/>
          <w:lang w:val="en-GB"/>
        </w:rPr>
        <w:t>R</w:t>
      </w:r>
      <w:r>
        <w:rPr>
          <w:rFonts w:eastAsia="Batang"/>
          <w:i/>
          <w:iCs/>
          <w:kern w:val="2"/>
          <w:szCs w:val="20"/>
          <w:lang w:val="en-GB"/>
        </w:rPr>
        <w:t xml:space="preserve"> </w:t>
      </w:r>
      <w:r>
        <w:rPr>
          <w:rFonts w:eastAsia="Batang"/>
          <w:i/>
          <w:iCs/>
          <w:szCs w:val="20"/>
          <w:lang w:val="en-GB" w:eastAsia="en-US"/>
        </w:rPr>
        <w:t>CSI-RS</w:t>
      </w:r>
      <w:r>
        <w:rPr>
          <w:rFonts w:hint="eastAsia"/>
          <w:i/>
          <w:iCs/>
          <w:szCs w:val="20"/>
        </w:rPr>
        <w:t xml:space="preserve"> </w:t>
      </w:r>
      <w:r>
        <w:rPr>
          <w:rFonts w:eastAsia="Batang"/>
          <w:i/>
          <w:iCs/>
          <w:kern w:val="2"/>
          <w:szCs w:val="20"/>
          <w:lang w:val="en-GB"/>
        </w:rPr>
        <w:t>resources</w:t>
      </w:r>
      <w:r>
        <w:rPr>
          <w:rFonts w:hint="eastAsia" w:eastAsia="Batang"/>
          <w:i/>
          <w:iCs/>
          <w:kern w:val="2"/>
          <w:szCs w:val="20"/>
        </w:rPr>
        <w:t xml:space="preserve"> in the CSI-RS resource set are regarded as </w:t>
      </w:r>
      <w:r>
        <w:rPr>
          <w:rFonts w:hint="eastAsia"/>
          <w:i/>
          <w:iCs/>
          <w:szCs w:val="20"/>
        </w:rPr>
        <w:t>t</w:t>
      </w:r>
      <w:r>
        <w:rPr>
          <w:rFonts w:eastAsia="Batang"/>
          <w:i/>
          <w:iCs/>
          <w:kern w:val="2"/>
          <w:szCs w:val="20"/>
          <w:lang w:val="en-GB"/>
        </w:rPr>
        <w:t>he M</w:t>
      </w:r>
      <w:r>
        <w:rPr>
          <w:rFonts w:eastAsia="Batang"/>
          <w:i/>
          <w:iCs/>
          <w:kern w:val="2"/>
          <w:szCs w:val="20"/>
          <w:vertAlign w:val="subscript"/>
          <w:lang w:val="en-GB"/>
        </w:rPr>
        <w:t>R</w:t>
      </w:r>
      <w:r>
        <w:rPr>
          <w:rFonts w:eastAsia="Batang"/>
          <w:i/>
          <w:iCs/>
          <w:kern w:val="2"/>
          <w:szCs w:val="20"/>
          <w:lang w:val="en-GB"/>
        </w:rPr>
        <w:t xml:space="preserve"> selected resources</w:t>
      </w:r>
      <w:r>
        <w:rPr>
          <w:rFonts w:hint="eastAsia" w:eastAsia="Batang"/>
          <w:i/>
          <w:iCs/>
          <w:kern w:val="2"/>
          <w:szCs w:val="20"/>
        </w:rPr>
        <w:t>.</w:t>
      </w:r>
    </w:p>
    <w:p>
      <w:pPr>
        <w:pStyle w:val="112"/>
        <w:numPr>
          <w:ilvl w:val="2"/>
          <w:numId w:val="8"/>
        </w:numPr>
        <w:snapToGrid w:val="0"/>
        <w:spacing w:before="72" w:beforeLines="30" w:after="72" w:afterLines="30" w:line="300" w:lineRule="auto"/>
        <w:ind w:firstLineChars="0"/>
        <w:textAlignment w:val="center"/>
        <w:outlineLvl w:val="2"/>
        <w:rPr>
          <w:b/>
          <w:bCs/>
          <w:sz w:val="21"/>
          <w:szCs w:val="21"/>
        </w:rPr>
      </w:pPr>
      <w:r>
        <w:rPr>
          <w:b/>
          <w:bCs/>
          <w:sz w:val="21"/>
          <w:szCs w:val="21"/>
        </w:rPr>
        <w:t>UCI mapping for CSI part2 wideband</w:t>
      </w:r>
    </w:p>
    <w:p>
      <w:pPr>
        <w:pStyle w:val="112"/>
        <w:ind w:firstLine="0" w:firstLineChars="0"/>
      </w:pPr>
      <w:r>
        <w:rPr>
          <w:rFonts w:hint="eastAsia"/>
        </w:rPr>
        <w:t>Re</w:t>
      </w:r>
      <w:r>
        <w:t xml:space="preserve">garding </w:t>
      </w:r>
      <w:r>
        <w:rPr>
          <w:rFonts w:hint="eastAsia"/>
        </w:rPr>
        <w:t xml:space="preserve">UCI mapping for CRI-based CSI reporting, the following agreements were reached </w:t>
      </w:r>
      <w:r>
        <w:t>in</w:t>
      </w:r>
      <w:r>
        <w:rPr>
          <w:rFonts w:hint="eastAsia"/>
        </w:rPr>
        <w:t xml:space="preserve"> RAN1#118.</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szCs w:val="20"/>
                <w:u w:val="single"/>
              </w:rPr>
            </w:pPr>
            <w:r>
              <w:rPr>
                <w:b/>
                <w:szCs w:val="20"/>
                <w:u w:val="single"/>
              </w:rPr>
              <w:t>Agreement</w:t>
            </w:r>
            <w:r>
              <w:rPr>
                <w:rFonts w:hint="eastAsia"/>
                <w:b/>
                <w:szCs w:val="20"/>
                <w:u w:val="single"/>
              </w:rPr>
              <w:t xml:space="preserve"> </w:t>
            </w:r>
            <w:r>
              <w:rPr>
                <w:b/>
                <w:szCs w:val="20"/>
                <w:u w:val="single"/>
              </w:rPr>
              <w:t>(RAN1#11</w:t>
            </w:r>
            <w:r>
              <w:rPr>
                <w:rFonts w:hint="eastAsia"/>
                <w:b/>
                <w:szCs w:val="20"/>
                <w:u w:val="single"/>
              </w:rPr>
              <w:t>8</w:t>
            </w:r>
            <w:r>
              <w:rPr>
                <w:b/>
                <w:szCs w:val="20"/>
                <w:u w:val="single"/>
              </w:rPr>
              <w:t>)</w:t>
            </w:r>
          </w:p>
          <w:p>
            <w:pPr>
              <w:snapToGrid w:val="0"/>
              <w:spacing w:before="0" w:after="0" w:line="240" w:lineRule="auto"/>
              <w:jc w:val="left"/>
              <w:rPr>
                <w:rFonts w:eastAsia="Malgun Gothic"/>
                <w:szCs w:val="20"/>
                <w:lang w:val="en-GB" w:eastAsia="ko-KR"/>
              </w:rPr>
            </w:pPr>
            <w:r>
              <w:rPr>
                <w:rFonts w:eastAsia="Malgun Gothic"/>
                <w:szCs w:val="20"/>
                <w:lang w:val="en-GB" w:eastAsia="ko-KR"/>
              </w:rPr>
              <w:t xml:space="preserve">At least for type 1 single panel, for the Rel-19 CRI-based CSI refinement for up to 128 CSI-RS ports, regarding UCI omission for the UCI reported </w:t>
            </w:r>
            <w:r>
              <w:rPr>
                <w:rFonts w:eastAsia="Malgun Gothic"/>
                <w:i/>
                <w:szCs w:val="20"/>
                <w:lang w:val="en-GB" w:eastAsia="ko-KR"/>
              </w:rPr>
              <w:t>in CSI part-2</w:t>
            </w:r>
            <w:r>
              <w:rPr>
                <w:rFonts w:eastAsia="Malgun Gothic"/>
                <w:szCs w:val="20"/>
                <w:lang w:val="en-GB" w:eastAsia="ko-KR"/>
              </w:rPr>
              <w:t>, other than priority 0 (G0), the UCI packing order and the 2M consecutive priority levels are defined w.r.t the M CRIs (including the non-reported M</w:t>
            </w:r>
            <w:r>
              <w:rPr>
                <w:rFonts w:eastAsia="Malgun Gothic"/>
                <w:szCs w:val="20"/>
                <w:vertAlign w:val="subscript"/>
                <w:lang w:val="en-GB" w:eastAsia="ko-KR"/>
              </w:rPr>
              <w:t>R</w:t>
            </w:r>
            <w:r>
              <w:rPr>
                <w:rFonts w:eastAsia="Malgun Gothic"/>
                <w:szCs w:val="20"/>
                <w:lang w:val="en-GB" w:eastAsia="ko-KR"/>
              </w:rPr>
              <w:t xml:space="preserve"> CRIs) as follows:</w:t>
            </w:r>
          </w:p>
          <w:p>
            <w:pPr>
              <w:numPr>
                <w:ilvl w:val="0"/>
                <w:numId w:val="16"/>
              </w:numPr>
              <w:spacing w:before="0" w:after="0" w:line="240" w:lineRule="auto"/>
              <w:jc w:val="left"/>
              <w:rPr>
                <w:rFonts w:eastAsia="Batang"/>
                <w:szCs w:val="20"/>
                <w:lang w:val="en-GB" w:eastAsia="ko-KR"/>
              </w:rPr>
            </w:pPr>
            <w:r>
              <w:rPr>
                <w:rFonts w:eastAsia="Batang"/>
                <w:szCs w:val="20"/>
                <w:lang w:val="en-GB" w:eastAsia="ko-KR"/>
              </w:rPr>
              <w:t xml:space="preserve">Consecutive priority levels (higher to lower): </w:t>
            </w:r>
          </w:p>
          <w:p>
            <w:pPr>
              <w:numPr>
                <w:ilvl w:val="1"/>
                <w:numId w:val="16"/>
              </w:numPr>
              <w:spacing w:before="0" w:after="0" w:line="240" w:lineRule="auto"/>
              <w:jc w:val="left"/>
              <w:rPr>
                <w:rFonts w:eastAsia="Batang"/>
                <w:szCs w:val="20"/>
                <w:lang w:val="en-GB" w:eastAsia="ko-KR"/>
              </w:rPr>
            </w:pPr>
            <w:r>
              <w:rPr>
                <w:szCs w:val="20"/>
                <w:lang w:val="en-GB" w:eastAsia="en-US"/>
              </w:rPr>
              <w:t>Even sub-bands (G1)</w:t>
            </w:r>
            <w:r>
              <w:rPr>
                <w:rFonts w:eastAsia="Batang"/>
                <w:szCs w:val="20"/>
                <w:lang w:val="en-GB" w:eastAsia="en-US"/>
              </w:rPr>
              <w:t> associated with the first configured CMR among the non-reported M</w:t>
            </w:r>
            <w:r>
              <w:rPr>
                <w:rFonts w:eastAsia="Batang"/>
                <w:szCs w:val="20"/>
                <w:vertAlign w:val="subscript"/>
                <w:lang w:val="en-GB" w:eastAsia="en-US"/>
              </w:rPr>
              <w:t>R</w:t>
            </w:r>
            <w:r>
              <w:rPr>
                <w:rFonts w:eastAsia="Batang"/>
                <w:szCs w:val="20"/>
                <w:lang w:val="en-GB" w:eastAsia="en-US"/>
              </w:rPr>
              <w:t> CRIs, </w:t>
            </w:r>
          </w:p>
          <w:p>
            <w:pPr>
              <w:numPr>
                <w:ilvl w:val="1"/>
                <w:numId w:val="16"/>
              </w:numPr>
              <w:spacing w:before="0" w:after="0" w:line="240" w:lineRule="auto"/>
              <w:jc w:val="left"/>
              <w:rPr>
                <w:rFonts w:eastAsia="Batang"/>
                <w:szCs w:val="20"/>
                <w:lang w:val="en-GB" w:eastAsia="ko-KR"/>
              </w:rPr>
            </w:pPr>
            <w:r>
              <w:rPr>
                <w:szCs w:val="20"/>
                <w:lang w:val="en-GB" w:eastAsia="en-US"/>
              </w:rPr>
              <w:t>Odd sub-bands (G2)</w:t>
            </w:r>
            <w:r>
              <w:rPr>
                <w:rFonts w:eastAsia="Batang"/>
                <w:szCs w:val="20"/>
                <w:lang w:val="en-GB" w:eastAsia="en-US"/>
              </w:rPr>
              <w:t> associated with the first configured CMR among the non-reported M</w:t>
            </w:r>
            <w:r>
              <w:rPr>
                <w:rFonts w:eastAsia="Batang"/>
                <w:szCs w:val="20"/>
                <w:vertAlign w:val="subscript"/>
                <w:lang w:val="en-GB" w:eastAsia="en-US"/>
              </w:rPr>
              <w:t>R</w:t>
            </w:r>
            <w:r>
              <w:rPr>
                <w:rFonts w:eastAsia="Batang"/>
                <w:szCs w:val="20"/>
                <w:lang w:val="en-GB" w:eastAsia="en-US"/>
              </w:rPr>
              <w:t xml:space="preserve"> CRIs, </w:t>
            </w:r>
          </w:p>
          <w:p>
            <w:pPr>
              <w:numPr>
                <w:ilvl w:val="1"/>
                <w:numId w:val="16"/>
              </w:numPr>
              <w:spacing w:before="0" w:after="0" w:line="240" w:lineRule="auto"/>
              <w:jc w:val="left"/>
              <w:rPr>
                <w:rFonts w:eastAsia="Batang"/>
                <w:szCs w:val="20"/>
                <w:lang w:val="en-GB" w:eastAsia="ko-KR"/>
              </w:rPr>
            </w:pPr>
            <w:r>
              <w:rPr>
                <w:rFonts w:eastAsia="Batang"/>
                <w:szCs w:val="20"/>
                <w:lang w:val="en-GB" w:eastAsia="en-US"/>
              </w:rPr>
              <w:t>…,</w:t>
            </w:r>
          </w:p>
          <w:p>
            <w:pPr>
              <w:numPr>
                <w:ilvl w:val="1"/>
                <w:numId w:val="16"/>
              </w:numPr>
              <w:spacing w:before="0" w:after="0" w:line="240" w:lineRule="auto"/>
              <w:jc w:val="left"/>
              <w:rPr>
                <w:rFonts w:eastAsia="Batang"/>
                <w:szCs w:val="20"/>
                <w:lang w:val="en-GB" w:eastAsia="ko-KR"/>
              </w:rPr>
            </w:pPr>
            <w:r>
              <w:rPr>
                <w:szCs w:val="20"/>
                <w:lang w:val="en-GB" w:eastAsia="en-US"/>
              </w:rPr>
              <w:t>Even sub-bands (G1)</w:t>
            </w:r>
            <w:r>
              <w:rPr>
                <w:rFonts w:eastAsia="Batang"/>
                <w:szCs w:val="20"/>
                <w:lang w:val="en-GB" w:eastAsia="en-US"/>
              </w:rPr>
              <w:t> associated with the</w:t>
            </w:r>
            <w:r>
              <w:rPr>
                <w:szCs w:val="20"/>
                <w:lang w:val="en-GB" w:eastAsia="en-US"/>
              </w:rPr>
              <w:t> </w:t>
            </w:r>
            <w:r>
              <w:rPr>
                <w:rFonts w:eastAsia="Batang"/>
                <w:szCs w:val="20"/>
                <w:lang w:val="en-GB" w:eastAsia="en-US"/>
              </w:rPr>
              <w:t>last configured CMR</w:t>
            </w:r>
            <w:r>
              <w:rPr>
                <w:szCs w:val="20"/>
                <w:lang w:val="en-GB" w:eastAsia="en-US"/>
              </w:rPr>
              <w:t> </w:t>
            </w:r>
            <w:r>
              <w:rPr>
                <w:rFonts w:eastAsia="Batang"/>
                <w:szCs w:val="20"/>
                <w:lang w:val="en-GB" w:eastAsia="en-US"/>
              </w:rPr>
              <w:t>among the non-reported M</w:t>
            </w:r>
            <w:r>
              <w:rPr>
                <w:rFonts w:eastAsia="Batang"/>
                <w:szCs w:val="20"/>
                <w:vertAlign w:val="subscript"/>
                <w:lang w:val="en-GB" w:eastAsia="en-US"/>
              </w:rPr>
              <w:t>R</w:t>
            </w:r>
            <w:r>
              <w:rPr>
                <w:rFonts w:eastAsia="Batang"/>
                <w:szCs w:val="20"/>
                <w:lang w:val="en-GB" w:eastAsia="en-US"/>
              </w:rPr>
              <w:t> CRIs, </w:t>
            </w:r>
          </w:p>
          <w:p>
            <w:pPr>
              <w:numPr>
                <w:ilvl w:val="1"/>
                <w:numId w:val="16"/>
              </w:numPr>
              <w:spacing w:before="0" w:after="0" w:line="240" w:lineRule="auto"/>
              <w:jc w:val="left"/>
              <w:rPr>
                <w:rFonts w:eastAsia="Batang"/>
                <w:szCs w:val="20"/>
                <w:lang w:val="en-GB" w:eastAsia="ko-KR"/>
              </w:rPr>
            </w:pPr>
            <w:r>
              <w:rPr>
                <w:szCs w:val="20"/>
                <w:lang w:val="en-GB" w:eastAsia="en-US"/>
              </w:rPr>
              <w:t>Odd sub-bands (G2)</w:t>
            </w:r>
            <w:r>
              <w:rPr>
                <w:rFonts w:eastAsia="Batang"/>
                <w:szCs w:val="20"/>
                <w:lang w:val="en-GB" w:eastAsia="en-US"/>
              </w:rPr>
              <w:t> associated with the last configured CMR</w:t>
            </w:r>
            <w:r>
              <w:rPr>
                <w:szCs w:val="20"/>
                <w:lang w:val="en-GB" w:eastAsia="en-US"/>
              </w:rPr>
              <w:t> </w:t>
            </w:r>
            <w:r>
              <w:rPr>
                <w:rFonts w:eastAsia="Batang"/>
                <w:szCs w:val="20"/>
                <w:lang w:val="en-GB" w:eastAsia="en-US"/>
              </w:rPr>
              <w:t>among the non-reported M</w:t>
            </w:r>
            <w:r>
              <w:rPr>
                <w:rFonts w:eastAsia="Batang"/>
                <w:szCs w:val="20"/>
                <w:vertAlign w:val="subscript"/>
                <w:lang w:val="en-GB" w:eastAsia="en-US"/>
              </w:rPr>
              <w:t>R</w:t>
            </w:r>
            <w:r>
              <w:rPr>
                <w:rFonts w:eastAsia="Batang"/>
                <w:szCs w:val="20"/>
                <w:lang w:val="en-GB" w:eastAsia="en-US"/>
              </w:rPr>
              <w:t xml:space="preserve"> CRIs, </w:t>
            </w:r>
          </w:p>
          <w:p>
            <w:pPr>
              <w:numPr>
                <w:ilvl w:val="1"/>
                <w:numId w:val="16"/>
              </w:numPr>
              <w:spacing w:before="0" w:after="0" w:line="240" w:lineRule="auto"/>
              <w:jc w:val="left"/>
              <w:rPr>
                <w:rFonts w:eastAsia="Batang"/>
                <w:szCs w:val="20"/>
                <w:lang w:val="en-GB" w:eastAsia="ko-KR"/>
              </w:rPr>
            </w:pPr>
            <w:r>
              <w:rPr>
                <w:szCs w:val="20"/>
                <w:lang w:val="en-GB" w:eastAsia="en-US"/>
              </w:rPr>
              <w:t>Even sub-bands (G1)</w:t>
            </w:r>
            <w:r>
              <w:rPr>
                <w:rFonts w:eastAsia="Batang"/>
                <w:szCs w:val="20"/>
                <w:lang w:val="en-GB" w:eastAsia="en-US"/>
              </w:rPr>
              <w:t> of the </w:t>
            </w:r>
            <w:r>
              <w:rPr>
                <w:szCs w:val="20"/>
                <w:lang w:val="en-GB" w:eastAsia="en-US"/>
              </w:rPr>
              <w:t>1</w:t>
            </w:r>
            <w:r>
              <w:rPr>
                <w:szCs w:val="20"/>
                <w:vertAlign w:val="superscript"/>
                <w:lang w:val="en-GB" w:eastAsia="en-US"/>
              </w:rPr>
              <w:t>st</w:t>
            </w:r>
            <w:r>
              <w:rPr>
                <w:szCs w:val="20"/>
                <w:lang w:val="en-GB" w:eastAsia="en-US"/>
              </w:rPr>
              <w:t> reported CRI</w:t>
            </w:r>
            <w:r>
              <w:rPr>
                <w:rFonts w:eastAsia="Batang"/>
                <w:szCs w:val="20"/>
                <w:lang w:val="en-GB" w:eastAsia="en-US"/>
              </w:rPr>
              <w:t>, </w:t>
            </w:r>
          </w:p>
          <w:p>
            <w:pPr>
              <w:numPr>
                <w:ilvl w:val="1"/>
                <w:numId w:val="16"/>
              </w:numPr>
              <w:spacing w:before="0" w:after="0" w:line="240" w:lineRule="auto"/>
              <w:jc w:val="left"/>
              <w:rPr>
                <w:rFonts w:eastAsia="Batang"/>
                <w:szCs w:val="20"/>
                <w:lang w:val="en-GB" w:eastAsia="ko-KR"/>
              </w:rPr>
            </w:pPr>
            <w:r>
              <w:rPr>
                <w:szCs w:val="20"/>
                <w:lang w:val="en-GB" w:eastAsia="en-US"/>
              </w:rPr>
              <w:t>Odd sub-bands (G2) </w:t>
            </w:r>
            <w:r>
              <w:rPr>
                <w:rFonts w:eastAsia="Batang"/>
                <w:szCs w:val="20"/>
                <w:lang w:val="en-GB" w:eastAsia="en-US"/>
              </w:rPr>
              <w:t>of the </w:t>
            </w:r>
            <w:r>
              <w:rPr>
                <w:szCs w:val="20"/>
                <w:lang w:val="en-GB" w:eastAsia="en-US"/>
              </w:rPr>
              <w:t>1</w:t>
            </w:r>
            <w:r>
              <w:rPr>
                <w:szCs w:val="20"/>
                <w:vertAlign w:val="superscript"/>
                <w:lang w:val="en-GB" w:eastAsia="en-US"/>
              </w:rPr>
              <w:t>st</w:t>
            </w:r>
            <w:r>
              <w:rPr>
                <w:szCs w:val="20"/>
                <w:lang w:val="en-GB" w:eastAsia="en-US"/>
              </w:rPr>
              <w:t> reported CRI</w:t>
            </w:r>
            <w:r>
              <w:rPr>
                <w:rFonts w:eastAsia="Batang"/>
                <w:szCs w:val="20"/>
                <w:lang w:val="en-GB" w:eastAsia="en-US"/>
              </w:rPr>
              <w:t xml:space="preserve">, </w:t>
            </w:r>
          </w:p>
          <w:p>
            <w:pPr>
              <w:numPr>
                <w:ilvl w:val="1"/>
                <w:numId w:val="16"/>
              </w:numPr>
              <w:spacing w:before="0" w:after="0" w:line="240" w:lineRule="auto"/>
              <w:jc w:val="left"/>
              <w:rPr>
                <w:rFonts w:eastAsia="Batang"/>
                <w:szCs w:val="20"/>
                <w:lang w:val="en-GB" w:eastAsia="ko-KR"/>
              </w:rPr>
            </w:pPr>
            <w:r>
              <w:rPr>
                <w:rFonts w:eastAsia="Batang"/>
                <w:szCs w:val="20"/>
                <w:lang w:val="en-GB" w:eastAsia="en-US"/>
              </w:rPr>
              <w:t>…, </w:t>
            </w:r>
          </w:p>
          <w:p>
            <w:pPr>
              <w:numPr>
                <w:ilvl w:val="1"/>
                <w:numId w:val="16"/>
              </w:numPr>
              <w:spacing w:before="0" w:after="0" w:line="240" w:lineRule="auto"/>
              <w:jc w:val="left"/>
              <w:rPr>
                <w:rFonts w:eastAsia="Batang"/>
                <w:szCs w:val="20"/>
                <w:lang w:val="en-GB" w:eastAsia="ko-KR"/>
              </w:rPr>
            </w:pPr>
            <w:r>
              <w:rPr>
                <w:szCs w:val="20"/>
                <w:lang w:val="en-GB" w:eastAsia="en-US"/>
              </w:rPr>
              <w:t>Even sub-bands (G1)</w:t>
            </w:r>
            <w:r>
              <w:rPr>
                <w:rFonts w:eastAsia="Batang"/>
                <w:szCs w:val="20"/>
                <w:lang w:val="en-GB" w:eastAsia="en-US"/>
              </w:rPr>
              <w:t> of the </w:t>
            </w:r>
            <w:r>
              <w:rPr>
                <w:szCs w:val="20"/>
                <w:lang w:val="en-GB" w:eastAsia="en-US"/>
              </w:rPr>
              <w:t>(M-M</w:t>
            </w:r>
            <w:r>
              <w:rPr>
                <w:szCs w:val="20"/>
                <w:vertAlign w:val="subscript"/>
                <w:lang w:val="en-GB" w:eastAsia="en-US"/>
              </w:rPr>
              <w:t>R</w:t>
            </w:r>
            <w:r>
              <w:rPr>
                <w:szCs w:val="20"/>
                <w:lang w:val="en-GB" w:eastAsia="en-US"/>
              </w:rPr>
              <w:t>)</w:t>
            </w:r>
            <w:r>
              <w:rPr>
                <w:szCs w:val="20"/>
                <w:vertAlign w:val="superscript"/>
                <w:lang w:val="en-GB" w:eastAsia="en-US"/>
              </w:rPr>
              <w:t>th</w:t>
            </w:r>
            <w:r>
              <w:rPr>
                <w:szCs w:val="20"/>
                <w:lang w:val="en-GB" w:eastAsia="en-US"/>
              </w:rPr>
              <w:t> reported CRI</w:t>
            </w:r>
            <w:r>
              <w:rPr>
                <w:rFonts w:eastAsia="Batang"/>
                <w:szCs w:val="20"/>
                <w:lang w:val="en-GB" w:eastAsia="en-US"/>
              </w:rPr>
              <w:t>,</w:t>
            </w:r>
          </w:p>
          <w:p>
            <w:pPr>
              <w:numPr>
                <w:ilvl w:val="1"/>
                <w:numId w:val="16"/>
              </w:numPr>
              <w:spacing w:before="0" w:after="0" w:line="240" w:lineRule="auto"/>
              <w:jc w:val="left"/>
              <w:rPr>
                <w:rFonts w:eastAsia="Batang"/>
                <w:szCs w:val="20"/>
                <w:lang w:val="en-GB" w:eastAsia="ko-KR"/>
              </w:rPr>
            </w:pPr>
            <w:r>
              <w:rPr>
                <w:rFonts w:eastAsia="Batang"/>
                <w:szCs w:val="20"/>
                <w:lang w:val="en-GB" w:eastAsia="en-US"/>
              </w:rPr>
              <w:t>O</w:t>
            </w:r>
            <w:r>
              <w:rPr>
                <w:szCs w:val="20"/>
                <w:lang w:val="en-GB" w:eastAsia="en-US"/>
              </w:rPr>
              <w:t>dd sub-bands (G2)</w:t>
            </w:r>
            <w:r>
              <w:rPr>
                <w:rFonts w:eastAsia="Batang"/>
                <w:szCs w:val="20"/>
                <w:lang w:val="en-GB" w:eastAsia="en-US"/>
              </w:rPr>
              <w:t> of the </w:t>
            </w:r>
            <w:r>
              <w:rPr>
                <w:szCs w:val="20"/>
                <w:lang w:val="en-GB" w:eastAsia="en-US"/>
              </w:rPr>
              <w:t>(M-M</w:t>
            </w:r>
            <w:r>
              <w:rPr>
                <w:szCs w:val="20"/>
                <w:vertAlign w:val="subscript"/>
                <w:lang w:val="en-GB" w:eastAsia="en-US"/>
              </w:rPr>
              <w:t>R</w:t>
            </w:r>
            <w:r>
              <w:rPr>
                <w:szCs w:val="20"/>
                <w:lang w:val="en-GB" w:eastAsia="en-US"/>
              </w:rPr>
              <w:t>)</w:t>
            </w:r>
            <w:r>
              <w:rPr>
                <w:szCs w:val="20"/>
                <w:vertAlign w:val="superscript"/>
                <w:lang w:val="en-GB" w:eastAsia="en-US"/>
              </w:rPr>
              <w:t>th</w:t>
            </w:r>
            <w:r>
              <w:rPr>
                <w:szCs w:val="20"/>
                <w:lang w:val="en-GB" w:eastAsia="en-US"/>
              </w:rPr>
              <w:t> reported CRI</w:t>
            </w:r>
            <w:r>
              <w:rPr>
                <w:rFonts w:eastAsia="Batang"/>
                <w:szCs w:val="20"/>
                <w:lang w:val="en-GB" w:eastAsia="en-US"/>
              </w:rPr>
              <w:t>.</w:t>
            </w:r>
          </w:p>
          <w:p>
            <w:pPr>
              <w:snapToGrid w:val="0"/>
              <w:spacing w:before="0" w:after="0" w:line="240" w:lineRule="auto"/>
              <w:jc w:val="left"/>
              <w:rPr>
                <w:rFonts w:eastAsia="Batang"/>
                <w:b/>
                <w:color w:val="3333FF"/>
                <w:szCs w:val="20"/>
                <w:lang w:val="en-GB" w:eastAsia="en-US"/>
              </w:rPr>
            </w:pPr>
            <w:r>
              <w:rPr>
                <w:rFonts w:eastAsia="Batang"/>
                <w:szCs w:val="20"/>
                <w:lang w:val="en-GB" w:eastAsia="ko-KR"/>
              </w:rPr>
              <w:t>Note: For UCI fields in wideband (G0), even sub-bands (G1), and odd sub-bands (G2), legacy design is fully reused.</w:t>
            </w:r>
            <w:r>
              <w:rPr>
                <w:rFonts w:eastAsia="Batang"/>
                <w:b/>
                <w:color w:val="3333FF"/>
                <w:szCs w:val="20"/>
                <w:lang w:val="en-GB" w:eastAsia="en-US"/>
              </w:rPr>
              <w:t xml:space="preserve"> </w:t>
            </w:r>
          </w:p>
          <w:p>
            <w:pPr>
              <w:snapToGrid w:val="0"/>
              <w:rPr>
                <w:szCs w:val="20"/>
                <w:u w:val="single"/>
              </w:rPr>
            </w:pPr>
            <w:r>
              <w:rPr>
                <w:b/>
                <w:szCs w:val="20"/>
                <w:u w:val="single"/>
              </w:rPr>
              <w:t>Agreement</w:t>
            </w:r>
            <w:r>
              <w:rPr>
                <w:rFonts w:hint="eastAsia"/>
                <w:b/>
                <w:szCs w:val="20"/>
                <w:u w:val="single"/>
              </w:rPr>
              <w:t xml:space="preserve"> </w:t>
            </w:r>
            <w:r>
              <w:rPr>
                <w:b/>
                <w:szCs w:val="20"/>
                <w:u w:val="single"/>
              </w:rPr>
              <w:t>(RAN1#11</w:t>
            </w:r>
            <w:r>
              <w:rPr>
                <w:rFonts w:hint="eastAsia"/>
                <w:b/>
                <w:szCs w:val="20"/>
                <w:u w:val="single"/>
              </w:rPr>
              <w:t>8</w:t>
            </w:r>
            <w:r>
              <w:rPr>
                <w:b/>
                <w:szCs w:val="20"/>
                <w:u w:val="single"/>
              </w:rPr>
              <w:t>)</w:t>
            </w:r>
          </w:p>
          <w:p>
            <w:pPr>
              <w:snapToGrid w:val="0"/>
              <w:spacing w:before="0" w:after="0" w:line="240" w:lineRule="auto"/>
              <w:jc w:val="left"/>
              <w:rPr>
                <w:rFonts w:eastAsia="Malgun Gothic"/>
                <w:szCs w:val="20"/>
                <w:lang w:val="en-GB" w:eastAsia="ko-KR"/>
              </w:rPr>
            </w:pPr>
            <w:r>
              <w:rPr>
                <w:rFonts w:eastAsia="Malgun Gothic"/>
                <w:szCs w:val="20"/>
                <w:lang w:val="en-GB" w:eastAsia="ko-KR"/>
              </w:rPr>
              <w:t xml:space="preserve">For the Rel-19 CRI-based CSI refinement for up to 128 CSI-RS ports, regarding UCI omission for the UCI reported </w:t>
            </w:r>
            <w:r>
              <w:rPr>
                <w:rFonts w:eastAsia="Malgun Gothic"/>
                <w:i/>
                <w:szCs w:val="20"/>
                <w:lang w:val="en-GB" w:eastAsia="ko-KR"/>
              </w:rPr>
              <w:t xml:space="preserve">in CSI part-1, </w:t>
            </w:r>
            <w:r>
              <w:rPr>
                <w:rFonts w:eastAsia="Batang"/>
                <w:iCs/>
                <w:szCs w:val="20"/>
                <w:lang w:val="en-GB" w:eastAsia="en-US"/>
              </w:rPr>
              <w:t>CSI part-1 is either reported entirely or dropped entirely, with the following UCI packing order:</w:t>
            </w:r>
          </w:p>
          <w:p>
            <w:pPr>
              <w:numPr>
                <w:ilvl w:val="0"/>
                <w:numId w:val="17"/>
              </w:numPr>
              <w:snapToGrid w:val="0"/>
              <w:rPr>
                <w:rFonts w:eastAsia="Malgun Gothic"/>
                <w:iCs/>
                <w:color w:val="000000"/>
                <w:szCs w:val="20"/>
                <w:lang w:val="en-GB"/>
              </w:rPr>
            </w:pPr>
            <w:r>
              <w:rPr>
                <w:rFonts w:eastAsia="Batang"/>
                <w:color w:val="000000"/>
                <w:szCs w:val="20"/>
                <w:lang w:val="en-GB" w:eastAsia="ko-KR"/>
              </w:rPr>
              <w:t xml:space="preserve">CSI part-1 </w:t>
            </w:r>
            <w:r>
              <w:rPr>
                <w:rFonts w:eastAsia="Batang"/>
                <w:color w:val="000000"/>
                <w:szCs w:val="20"/>
                <w:lang w:val="en-GB"/>
              </w:rPr>
              <w:t>associated with the first configured CMR among the non-reported M</w:t>
            </w:r>
            <w:r>
              <w:rPr>
                <w:rFonts w:eastAsia="Batang"/>
                <w:color w:val="000000"/>
                <w:szCs w:val="20"/>
                <w:vertAlign w:val="subscript"/>
                <w:lang w:val="en-GB"/>
              </w:rPr>
              <w:t>R</w:t>
            </w:r>
            <w:r>
              <w:rPr>
                <w:rFonts w:eastAsia="Batang"/>
                <w:color w:val="000000"/>
                <w:szCs w:val="20"/>
                <w:lang w:val="en-GB"/>
              </w:rPr>
              <w:t> CRIs</w:t>
            </w:r>
            <w:r>
              <w:rPr>
                <w:rFonts w:eastAsia="Batang"/>
                <w:color w:val="000000"/>
                <w:szCs w:val="20"/>
                <w:lang w:val="en-GB" w:eastAsia="ko-KR"/>
              </w:rPr>
              <w:t xml:space="preserve"> </w:t>
            </w:r>
          </w:p>
          <w:p>
            <w:pPr>
              <w:numPr>
                <w:ilvl w:val="0"/>
                <w:numId w:val="17"/>
              </w:numPr>
              <w:snapToGrid w:val="0"/>
              <w:rPr>
                <w:rFonts w:eastAsia="Malgun Gothic"/>
                <w:iCs/>
                <w:color w:val="000000"/>
                <w:szCs w:val="20"/>
                <w:lang w:val="en-GB"/>
              </w:rPr>
            </w:pPr>
            <w:r>
              <w:rPr>
                <w:rFonts w:eastAsia="Malgun Gothic"/>
                <w:iCs/>
                <w:color w:val="000000"/>
                <w:szCs w:val="20"/>
                <w:lang w:val="en-GB"/>
              </w:rPr>
              <w:t>…</w:t>
            </w:r>
          </w:p>
          <w:p>
            <w:pPr>
              <w:numPr>
                <w:ilvl w:val="0"/>
                <w:numId w:val="17"/>
              </w:numPr>
              <w:snapToGrid w:val="0"/>
              <w:rPr>
                <w:rFonts w:eastAsia="Malgun Gothic"/>
                <w:iCs/>
                <w:color w:val="000000"/>
                <w:szCs w:val="20"/>
                <w:lang w:val="en-GB"/>
              </w:rPr>
            </w:pPr>
            <w:r>
              <w:rPr>
                <w:rFonts w:eastAsia="Batang"/>
                <w:color w:val="000000"/>
                <w:szCs w:val="20"/>
                <w:lang w:val="en-GB" w:eastAsia="ko-KR"/>
              </w:rPr>
              <w:t xml:space="preserve">CSI part-1 </w:t>
            </w:r>
            <w:r>
              <w:rPr>
                <w:rFonts w:eastAsia="Batang"/>
                <w:color w:val="000000"/>
                <w:szCs w:val="20"/>
                <w:lang w:val="en-GB"/>
              </w:rPr>
              <w:t>associated with the last configured CMR among the non-reported M</w:t>
            </w:r>
            <w:r>
              <w:rPr>
                <w:rFonts w:eastAsia="Batang"/>
                <w:color w:val="000000"/>
                <w:szCs w:val="20"/>
                <w:vertAlign w:val="subscript"/>
                <w:lang w:val="en-GB"/>
              </w:rPr>
              <w:t>R</w:t>
            </w:r>
            <w:r>
              <w:rPr>
                <w:rFonts w:eastAsia="Batang"/>
                <w:color w:val="000000"/>
                <w:szCs w:val="20"/>
                <w:lang w:val="en-GB"/>
              </w:rPr>
              <w:t> CRIs</w:t>
            </w:r>
            <w:r>
              <w:rPr>
                <w:rFonts w:eastAsia="Batang"/>
                <w:color w:val="000000"/>
                <w:szCs w:val="20"/>
                <w:lang w:val="en-GB" w:eastAsia="ko-KR"/>
              </w:rPr>
              <w:t xml:space="preserve"> </w:t>
            </w:r>
          </w:p>
          <w:p>
            <w:pPr>
              <w:numPr>
                <w:ilvl w:val="0"/>
                <w:numId w:val="17"/>
              </w:numPr>
              <w:snapToGrid w:val="0"/>
              <w:rPr>
                <w:rFonts w:eastAsia="Malgun Gothic"/>
                <w:iCs/>
                <w:color w:val="000000"/>
                <w:szCs w:val="20"/>
                <w:lang w:val="en-GB"/>
              </w:rPr>
            </w:pPr>
            <w:r>
              <w:rPr>
                <w:rFonts w:eastAsia="Batang"/>
                <w:color w:val="000000"/>
                <w:szCs w:val="20"/>
                <w:lang w:val="en-GB" w:eastAsia="ko-KR"/>
              </w:rPr>
              <w:t>CSI part-1 of the 1</w:t>
            </w:r>
            <w:r>
              <w:rPr>
                <w:rFonts w:eastAsia="Batang"/>
                <w:color w:val="000000"/>
                <w:szCs w:val="20"/>
                <w:vertAlign w:val="superscript"/>
                <w:lang w:val="en-GB" w:eastAsia="ko-KR"/>
              </w:rPr>
              <w:t>st</w:t>
            </w:r>
            <w:r>
              <w:rPr>
                <w:rFonts w:eastAsia="Batang"/>
                <w:color w:val="000000"/>
                <w:szCs w:val="20"/>
                <w:lang w:val="en-GB" w:eastAsia="ko-KR"/>
              </w:rPr>
              <w:t xml:space="preserve"> reported CRI, </w:t>
            </w:r>
          </w:p>
          <w:p>
            <w:pPr>
              <w:numPr>
                <w:ilvl w:val="0"/>
                <w:numId w:val="17"/>
              </w:numPr>
              <w:snapToGrid w:val="0"/>
              <w:rPr>
                <w:rFonts w:eastAsia="Malgun Gothic"/>
                <w:iCs/>
                <w:color w:val="000000"/>
                <w:szCs w:val="20"/>
                <w:lang w:val="en-GB"/>
              </w:rPr>
            </w:pPr>
            <w:r>
              <w:rPr>
                <w:rFonts w:eastAsia="Malgun Gothic"/>
                <w:iCs/>
                <w:color w:val="000000"/>
                <w:szCs w:val="20"/>
                <w:lang w:val="en-GB"/>
              </w:rPr>
              <w:t>…</w:t>
            </w:r>
          </w:p>
          <w:p>
            <w:pPr>
              <w:numPr>
                <w:ilvl w:val="0"/>
                <w:numId w:val="17"/>
              </w:numPr>
              <w:snapToGrid w:val="0"/>
              <w:rPr>
                <w:rFonts w:eastAsia="Malgun Gothic"/>
                <w:iCs/>
                <w:color w:val="000000"/>
                <w:szCs w:val="20"/>
                <w:lang w:val="en-GB"/>
              </w:rPr>
            </w:pPr>
            <w:r>
              <w:rPr>
                <w:rFonts w:eastAsia="Batang"/>
                <w:color w:val="000000"/>
                <w:szCs w:val="20"/>
                <w:lang w:val="en-GB" w:eastAsia="ko-KR"/>
              </w:rPr>
              <w:t xml:space="preserve">CSI part-1 of the </w:t>
            </w:r>
            <w:r>
              <w:rPr>
                <w:rFonts w:eastAsia="Malgun Gothic"/>
                <w:b/>
                <w:bCs/>
                <w:color w:val="000000"/>
                <w:szCs w:val="20"/>
                <w:lang w:val="en-GB"/>
              </w:rPr>
              <w:t>(M-M</w:t>
            </w:r>
            <w:r>
              <w:rPr>
                <w:rFonts w:eastAsia="Malgun Gothic"/>
                <w:b/>
                <w:bCs/>
                <w:color w:val="000000"/>
                <w:szCs w:val="20"/>
                <w:vertAlign w:val="subscript"/>
                <w:lang w:val="en-GB"/>
              </w:rPr>
              <w:t>R</w:t>
            </w:r>
            <w:r>
              <w:rPr>
                <w:rFonts w:eastAsia="Malgun Gothic"/>
                <w:b/>
                <w:bCs/>
                <w:color w:val="000000"/>
                <w:szCs w:val="20"/>
                <w:lang w:val="en-GB"/>
              </w:rPr>
              <w:t>)</w:t>
            </w:r>
            <w:r>
              <w:rPr>
                <w:rFonts w:eastAsia="Malgun Gothic"/>
                <w:b/>
                <w:bCs/>
                <w:color w:val="000000"/>
                <w:szCs w:val="20"/>
                <w:vertAlign w:val="superscript"/>
                <w:lang w:val="en-GB"/>
              </w:rPr>
              <w:t>th</w:t>
            </w:r>
            <w:r>
              <w:rPr>
                <w:rFonts w:eastAsia="Malgun Gothic"/>
                <w:b/>
                <w:bCs/>
                <w:color w:val="000000"/>
                <w:szCs w:val="20"/>
                <w:lang w:val="en-GB"/>
              </w:rPr>
              <w:t> </w:t>
            </w:r>
            <w:r>
              <w:rPr>
                <w:rFonts w:eastAsia="Batang"/>
                <w:color w:val="000000"/>
                <w:szCs w:val="20"/>
                <w:lang w:val="en-GB" w:eastAsia="ko-KR"/>
              </w:rPr>
              <w:t>reported CRI</w:t>
            </w:r>
            <w:r>
              <w:rPr>
                <w:rFonts w:hint="eastAsia"/>
                <w:color w:val="000000"/>
                <w:szCs w:val="20"/>
              </w:rPr>
              <w:t>.</w:t>
            </w:r>
          </w:p>
          <w:p>
            <w:pPr>
              <w:snapToGrid w:val="0"/>
              <w:rPr>
                <w:szCs w:val="20"/>
                <w:u w:val="single"/>
              </w:rPr>
            </w:pPr>
            <w:r>
              <w:rPr>
                <w:b/>
                <w:szCs w:val="20"/>
                <w:u w:val="single"/>
              </w:rPr>
              <w:t>Agreement</w:t>
            </w:r>
            <w:r>
              <w:rPr>
                <w:rFonts w:hint="eastAsia"/>
                <w:b/>
                <w:szCs w:val="20"/>
                <w:u w:val="single"/>
              </w:rPr>
              <w:t xml:space="preserve"> </w:t>
            </w:r>
            <w:r>
              <w:rPr>
                <w:b/>
                <w:szCs w:val="20"/>
                <w:u w:val="single"/>
              </w:rPr>
              <w:t>(RAN1#11</w:t>
            </w:r>
            <w:r>
              <w:rPr>
                <w:rFonts w:hint="eastAsia"/>
                <w:b/>
                <w:szCs w:val="20"/>
                <w:u w:val="single"/>
              </w:rPr>
              <w:t>8</w:t>
            </w:r>
            <w:r>
              <w:rPr>
                <w:b/>
                <w:szCs w:val="20"/>
                <w:u w:val="single"/>
              </w:rPr>
              <w:t>)</w:t>
            </w:r>
          </w:p>
          <w:p>
            <w:pPr>
              <w:snapToGrid w:val="0"/>
              <w:spacing w:before="0" w:after="0" w:line="240" w:lineRule="auto"/>
              <w:jc w:val="left"/>
              <w:rPr>
                <w:rFonts w:eastAsia="Malgun Gothic"/>
                <w:szCs w:val="20"/>
                <w:lang w:val="en-GB" w:eastAsia="ko-KR"/>
              </w:rPr>
            </w:pPr>
            <w:r>
              <w:rPr>
                <w:rFonts w:eastAsia="Malgun Gothic"/>
                <w:szCs w:val="20"/>
                <w:lang w:val="en-GB" w:eastAsia="ko-KR"/>
              </w:rPr>
              <w:t xml:space="preserve">For the Rel-19 CRI-based CSI refinement for up to 128 CSI-RS ports based on Rel-16 eType-II, regarding UCI omission for the UCI reported </w:t>
            </w:r>
            <w:r>
              <w:rPr>
                <w:rFonts w:eastAsia="Malgun Gothic"/>
                <w:i/>
                <w:szCs w:val="20"/>
                <w:lang w:val="en-GB" w:eastAsia="ko-KR"/>
              </w:rPr>
              <w:t>in CSI part-2</w:t>
            </w:r>
            <w:r>
              <w:rPr>
                <w:rFonts w:eastAsia="Malgun Gothic"/>
                <w:szCs w:val="20"/>
                <w:lang w:val="en-GB" w:eastAsia="ko-KR"/>
              </w:rPr>
              <w:t>, other than priority 0 (G0), the UCI packing order and the 2M consecutive priority levels are defined w.r.t the M CRIs (including the non-reported M</w:t>
            </w:r>
            <w:r>
              <w:rPr>
                <w:rFonts w:eastAsia="Malgun Gothic"/>
                <w:szCs w:val="20"/>
                <w:vertAlign w:val="subscript"/>
                <w:lang w:val="en-GB" w:eastAsia="ko-KR"/>
              </w:rPr>
              <w:t>R</w:t>
            </w:r>
            <w:r>
              <w:rPr>
                <w:rFonts w:eastAsia="Malgun Gothic"/>
                <w:szCs w:val="20"/>
                <w:lang w:val="en-GB" w:eastAsia="ko-KR"/>
              </w:rPr>
              <w:t xml:space="preserve"> CRIs) as follows:</w:t>
            </w:r>
          </w:p>
          <w:p>
            <w:pPr>
              <w:widowControl w:val="0"/>
              <w:numPr>
                <w:ilvl w:val="0"/>
                <w:numId w:val="18"/>
              </w:numPr>
              <w:snapToGrid w:val="0"/>
              <w:rPr>
                <w:rFonts w:eastAsia="Batang"/>
                <w:szCs w:val="20"/>
                <w:lang w:val="en-GB"/>
              </w:rPr>
            </w:pPr>
            <w:r>
              <w:rPr>
                <w:rFonts w:eastAsia="Batang"/>
                <w:szCs w:val="20"/>
                <w:lang w:val="en-GB"/>
              </w:rPr>
              <w:t xml:space="preserve">Consecutive priority levels (higher to lower): </w:t>
            </w:r>
          </w:p>
          <w:p>
            <w:pPr>
              <w:widowControl w:val="0"/>
              <w:numPr>
                <w:ilvl w:val="1"/>
                <w:numId w:val="18"/>
              </w:numPr>
              <w:snapToGrid w:val="0"/>
              <w:rPr>
                <w:rFonts w:eastAsia="Batang"/>
                <w:szCs w:val="20"/>
                <w:lang w:val="en-GB"/>
              </w:rPr>
            </w:pPr>
            <w:r>
              <w:rPr>
                <w:szCs w:val="20"/>
                <w:lang w:val="en-GB"/>
              </w:rPr>
              <w:t>G1 PMI components</w:t>
            </w:r>
            <w:r>
              <w:rPr>
                <w:rFonts w:eastAsia="Batang"/>
                <w:szCs w:val="20"/>
                <w:lang w:val="en-GB"/>
              </w:rPr>
              <w:t> associated with the first configured CMR among the non-reported M</w:t>
            </w:r>
            <w:r>
              <w:rPr>
                <w:rFonts w:eastAsia="Batang"/>
                <w:szCs w:val="20"/>
                <w:vertAlign w:val="subscript"/>
                <w:lang w:val="en-GB"/>
              </w:rPr>
              <w:t>R</w:t>
            </w:r>
            <w:r>
              <w:rPr>
                <w:rFonts w:eastAsia="Batang"/>
                <w:szCs w:val="20"/>
                <w:lang w:val="en-GB"/>
              </w:rPr>
              <w:t> CRIs, </w:t>
            </w:r>
          </w:p>
          <w:p>
            <w:pPr>
              <w:widowControl w:val="0"/>
              <w:numPr>
                <w:ilvl w:val="1"/>
                <w:numId w:val="18"/>
              </w:numPr>
              <w:snapToGrid w:val="0"/>
              <w:rPr>
                <w:rFonts w:eastAsia="Batang"/>
                <w:szCs w:val="20"/>
                <w:lang w:val="en-GB"/>
              </w:rPr>
            </w:pPr>
            <w:r>
              <w:rPr>
                <w:szCs w:val="20"/>
                <w:lang w:val="en-GB"/>
              </w:rPr>
              <w:t>G2 PMI components</w:t>
            </w:r>
            <w:r>
              <w:rPr>
                <w:rFonts w:eastAsia="Batang"/>
                <w:szCs w:val="20"/>
                <w:lang w:val="en-GB"/>
              </w:rPr>
              <w:t> associated with the first configured CMR among the non-reported M</w:t>
            </w:r>
            <w:r>
              <w:rPr>
                <w:rFonts w:eastAsia="Batang"/>
                <w:szCs w:val="20"/>
                <w:vertAlign w:val="subscript"/>
                <w:lang w:val="en-GB"/>
              </w:rPr>
              <w:t>R</w:t>
            </w:r>
            <w:r>
              <w:rPr>
                <w:rFonts w:eastAsia="Batang"/>
                <w:szCs w:val="20"/>
                <w:lang w:val="en-GB"/>
              </w:rPr>
              <w:t xml:space="preserve"> CRIs, </w:t>
            </w:r>
          </w:p>
          <w:p>
            <w:pPr>
              <w:widowControl w:val="0"/>
              <w:numPr>
                <w:ilvl w:val="1"/>
                <w:numId w:val="18"/>
              </w:numPr>
              <w:snapToGrid w:val="0"/>
              <w:rPr>
                <w:rFonts w:eastAsia="Batang"/>
                <w:szCs w:val="20"/>
                <w:lang w:val="en-GB" w:eastAsia="ko-KR"/>
              </w:rPr>
            </w:pPr>
            <w:r>
              <w:rPr>
                <w:rFonts w:eastAsia="Batang"/>
                <w:szCs w:val="20"/>
                <w:lang w:val="en-GB"/>
              </w:rPr>
              <w:t>…,</w:t>
            </w:r>
          </w:p>
          <w:p>
            <w:pPr>
              <w:widowControl w:val="0"/>
              <w:numPr>
                <w:ilvl w:val="1"/>
                <w:numId w:val="18"/>
              </w:numPr>
              <w:snapToGrid w:val="0"/>
              <w:rPr>
                <w:rFonts w:eastAsia="Batang"/>
                <w:szCs w:val="20"/>
                <w:lang w:val="en-GB" w:eastAsia="ko-KR"/>
              </w:rPr>
            </w:pPr>
            <w:r>
              <w:rPr>
                <w:szCs w:val="20"/>
                <w:lang w:val="en-GB"/>
              </w:rPr>
              <w:t>G1 PMI components</w:t>
            </w:r>
            <w:r>
              <w:rPr>
                <w:rFonts w:eastAsia="Batang"/>
                <w:szCs w:val="20"/>
                <w:lang w:val="en-GB"/>
              </w:rPr>
              <w:t> associated with the</w:t>
            </w:r>
            <w:r>
              <w:rPr>
                <w:szCs w:val="20"/>
                <w:lang w:val="en-GB"/>
              </w:rPr>
              <w:t> </w:t>
            </w:r>
            <w:r>
              <w:rPr>
                <w:rFonts w:eastAsia="Batang"/>
                <w:szCs w:val="20"/>
                <w:lang w:val="en-GB"/>
              </w:rPr>
              <w:t>last configured CMR</w:t>
            </w:r>
            <w:r>
              <w:rPr>
                <w:szCs w:val="20"/>
                <w:lang w:val="en-GB"/>
              </w:rPr>
              <w:t> </w:t>
            </w:r>
            <w:r>
              <w:rPr>
                <w:rFonts w:eastAsia="Batang"/>
                <w:szCs w:val="20"/>
                <w:lang w:val="en-GB"/>
              </w:rPr>
              <w:t>among the non-reported M</w:t>
            </w:r>
            <w:r>
              <w:rPr>
                <w:rFonts w:eastAsia="Batang"/>
                <w:szCs w:val="20"/>
                <w:vertAlign w:val="subscript"/>
                <w:lang w:val="en-GB"/>
              </w:rPr>
              <w:t>R</w:t>
            </w:r>
            <w:r>
              <w:rPr>
                <w:rFonts w:eastAsia="Batang"/>
                <w:szCs w:val="20"/>
                <w:lang w:val="en-GB"/>
              </w:rPr>
              <w:t> CRIs, </w:t>
            </w:r>
          </w:p>
          <w:p>
            <w:pPr>
              <w:widowControl w:val="0"/>
              <w:numPr>
                <w:ilvl w:val="1"/>
                <w:numId w:val="18"/>
              </w:numPr>
              <w:snapToGrid w:val="0"/>
              <w:rPr>
                <w:rFonts w:eastAsia="Batang"/>
                <w:szCs w:val="20"/>
                <w:lang w:val="en-GB" w:eastAsia="ko-KR"/>
              </w:rPr>
            </w:pPr>
            <w:r>
              <w:rPr>
                <w:szCs w:val="20"/>
                <w:lang w:val="en-GB"/>
              </w:rPr>
              <w:t>G2 PMI components</w:t>
            </w:r>
            <w:r>
              <w:rPr>
                <w:rFonts w:eastAsia="Batang"/>
                <w:szCs w:val="20"/>
                <w:lang w:val="en-GB"/>
              </w:rPr>
              <w:t> associated with the last configured CMR</w:t>
            </w:r>
            <w:r>
              <w:rPr>
                <w:szCs w:val="20"/>
                <w:lang w:val="en-GB"/>
              </w:rPr>
              <w:t> </w:t>
            </w:r>
            <w:r>
              <w:rPr>
                <w:rFonts w:eastAsia="Batang"/>
                <w:szCs w:val="20"/>
                <w:lang w:val="en-GB"/>
              </w:rPr>
              <w:t>among the non-reported M</w:t>
            </w:r>
            <w:r>
              <w:rPr>
                <w:rFonts w:eastAsia="Batang"/>
                <w:szCs w:val="20"/>
                <w:vertAlign w:val="subscript"/>
                <w:lang w:val="en-GB"/>
              </w:rPr>
              <w:t>R</w:t>
            </w:r>
            <w:r>
              <w:rPr>
                <w:rFonts w:eastAsia="Batang"/>
                <w:szCs w:val="20"/>
                <w:lang w:val="en-GB"/>
              </w:rPr>
              <w:t xml:space="preserve"> CRIs, </w:t>
            </w:r>
          </w:p>
          <w:p>
            <w:pPr>
              <w:widowControl w:val="0"/>
              <w:numPr>
                <w:ilvl w:val="1"/>
                <w:numId w:val="18"/>
              </w:numPr>
              <w:snapToGrid w:val="0"/>
              <w:rPr>
                <w:rFonts w:eastAsia="Batang"/>
                <w:szCs w:val="20"/>
                <w:lang w:val="en-GB" w:eastAsia="ko-KR"/>
              </w:rPr>
            </w:pPr>
            <w:r>
              <w:rPr>
                <w:szCs w:val="20"/>
                <w:lang w:val="en-GB"/>
              </w:rPr>
              <w:t>G1 PMI components</w:t>
            </w:r>
            <w:r>
              <w:rPr>
                <w:rFonts w:eastAsia="Batang"/>
                <w:szCs w:val="20"/>
                <w:lang w:val="en-GB"/>
              </w:rPr>
              <w:t> of the </w:t>
            </w:r>
            <w:r>
              <w:rPr>
                <w:szCs w:val="20"/>
                <w:lang w:val="en-GB"/>
              </w:rPr>
              <w:t>1</w:t>
            </w:r>
            <w:r>
              <w:rPr>
                <w:szCs w:val="20"/>
                <w:vertAlign w:val="superscript"/>
                <w:lang w:val="en-GB"/>
              </w:rPr>
              <w:t>st</w:t>
            </w:r>
            <w:r>
              <w:rPr>
                <w:szCs w:val="20"/>
                <w:lang w:val="en-GB"/>
              </w:rPr>
              <w:t> reported CRI</w:t>
            </w:r>
            <w:r>
              <w:rPr>
                <w:rFonts w:eastAsia="Batang"/>
                <w:szCs w:val="20"/>
                <w:lang w:val="en-GB"/>
              </w:rPr>
              <w:t>, </w:t>
            </w:r>
          </w:p>
          <w:p>
            <w:pPr>
              <w:widowControl w:val="0"/>
              <w:numPr>
                <w:ilvl w:val="1"/>
                <w:numId w:val="18"/>
              </w:numPr>
              <w:snapToGrid w:val="0"/>
              <w:rPr>
                <w:rFonts w:eastAsia="Batang"/>
                <w:szCs w:val="20"/>
                <w:lang w:val="en-GB" w:eastAsia="ko-KR"/>
              </w:rPr>
            </w:pPr>
            <w:r>
              <w:rPr>
                <w:szCs w:val="20"/>
                <w:lang w:val="en-GB"/>
              </w:rPr>
              <w:t>G2 PMI components </w:t>
            </w:r>
            <w:r>
              <w:rPr>
                <w:rFonts w:eastAsia="Batang"/>
                <w:szCs w:val="20"/>
                <w:lang w:val="en-GB"/>
              </w:rPr>
              <w:t>of the </w:t>
            </w:r>
            <w:r>
              <w:rPr>
                <w:szCs w:val="20"/>
                <w:lang w:val="en-GB"/>
              </w:rPr>
              <w:t>1</w:t>
            </w:r>
            <w:r>
              <w:rPr>
                <w:szCs w:val="20"/>
                <w:vertAlign w:val="superscript"/>
                <w:lang w:val="en-GB"/>
              </w:rPr>
              <w:t>st</w:t>
            </w:r>
            <w:r>
              <w:rPr>
                <w:szCs w:val="20"/>
                <w:lang w:val="en-GB"/>
              </w:rPr>
              <w:t> reported CRI</w:t>
            </w:r>
            <w:r>
              <w:rPr>
                <w:rFonts w:eastAsia="Batang"/>
                <w:szCs w:val="20"/>
                <w:lang w:val="en-GB"/>
              </w:rPr>
              <w:t xml:space="preserve">, </w:t>
            </w:r>
          </w:p>
          <w:p>
            <w:pPr>
              <w:widowControl w:val="0"/>
              <w:numPr>
                <w:ilvl w:val="1"/>
                <w:numId w:val="18"/>
              </w:numPr>
              <w:snapToGrid w:val="0"/>
              <w:rPr>
                <w:rFonts w:eastAsia="Batang"/>
                <w:szCs w:val="20"/>
                <w:lang w:val="en-GB" w:eastAsia="ko-KR"/>
              </w:rPr>
            </w:pPr>
            <w:r>
              <w:rPr>
                <w:rFonts w:eastAsia="Batang"/>
                <w:szCs w:val="20"/>
                <w:lang w:val="en-GB"/>
              </w:rPr>
              <w:t>…, </w:t>
            </w:r>
          </w:p>
          <w:p>
            <w:pPr>
              <w:widowControl w:val="0"/>
              <w:numPr>
                <w:ilvl w:val="1"/>
                <w:numId w:val="18"/>
              </w:numPr>
              <w:snapToGrid w:val="0"/>
              <w:rPr>
                <w:rFonts w:eastAsia="Batang"/>
                <w:szCs w:val="20"/>
                <w:lang w:val="en-GB" w:eastAsia="ko-KR"/>
              </w:rPr>
            </w:pPr>
            <w:r>
              <w:rPr>
                <w:szCs w:val="20"/>
                <w:lang w:val="en-GB"/>
              </w:rPr>
              <w:t>G1 PMI components</w:t>
            </w:r>
            <w:r>
              <w:rPr>
                <w:rFonts w:eastAsia="Batang"/>
                <w:szCs w:val="20"/>
                <w:lang w:val="en-GB"/>
              </w:rPr>
              <w:t> of the </w:t>
            </w:r>
            <w:r>
              <w:rPr>
                <w:szCs w:val="20"/>
                <w:lang w:val="en-GB"/>
              </w:rPr>
              <w:t>(M-M</w:t>
            </w:r>
            <w:r>
              <w:rPr>
                <w:szCs w:val="20"/>
                <w:vertAlign w:val="subscript"/>
                <w:lang w:val="en-GB"/>
              </w:rPr>
              <w:t>R</w:t>
            </w:r>
            <w:r>
              <w:rPr>
                <w:szCs w:val="20"/>
                <w:lang w:val="en-GB"/>
              </w:rPr>
              <w:t>)</w:t>
            </w:r>
            <w:r>
              <w:rPr>
                <w:szCs w:val="20"/>
                <w:vertAlign w:val="superscript"/>
                <w:lang w:val="en-GB"/>
              </w:rPr>
              <w:t>th</w:t>
            </w:r>
            <w:r>
              <w:rPr>
                <w:szCs w:val="20"/>
                <w:lang w:val="en-GB"/>
              </w:rPr>
              <w:t> reported CRI</w:t>
            </w:r>
            <w:r>
              <w:rPr>
                <w:rFonts w:eastAsia="Batang"/>
                <w:szCs w:val="20"/>
                <w:lang w:val="en-GB"/>
              </w:rPr>
              <w:t>,</w:t>
            </w:r>
          </w:p>
          <w:p>
            <w:pPr>
              <w:widowControl w:val="0"/>
              <w:numPr>
                <w:ilvl w:val="1"/>
                <w:numId w:val="18"/>
              </w:numPr>
              <w:snapToGrid w:val="0"/>
              <w:rPr>
                <w:rFonts w:eastAsia="Batang"/>
                <w:szCs w:val="20"/>
                <w:lang w:val="en-GB" w:eastAsia="ko-KR"/>
              </w:rPr>
            </w:pPr>
            <w:r>
              <w:rPr>
                <w:szCs w:val="20"/>
                <w:lang w:val="en-GB"/>
              </w:rPr>
              <w:t>G2 PMI components</w:t>
            </w:r>
            <w:r>
              <w:rPr>
                <w:rFonts w:eastAsia="Batang"/>
                <w:szCs w:val="20"/>
                <w:lang w:val="en-GB"/>
              </w:rPr>
              <w:t> of the </w:t>
            </w:r>
            <w:r>
              <w:rPr>
                <w:szCs w:val="20"/>
                <w:lang w:val="en-GB"/>
              </w:rPr>
              <w:t>(M-M</w:t>
            </w:r>
            <w:r>
              <w:rPr>
                <w:szCs w:val="20"/>
                <w:vertAlign w:val="subscript"/>
                <w:lang w:val="en-GB"/>
              </w:rPr>
              <w:t>R</w:t>
            </w:r>
            <w:r>
              <w:rPr>
                <w:szCs w:val="20"/>
                <w:lang w:val="en-GB"/>
              </w:rPr>
              <w:t>)</w:t>
            </w:r>
            <w:r>
              <w:rPr>
                <w:szCs w:val="20"/>
                <w:vertAlign w:val="superscript"/>
                <w:lang w:val="en-GB"/>
              </w:rPr>
              <w:t>th</w:t>
            </w:r>
            <w:r>
              <w:rPr>
                <w:szCs w:val="20"/>
                <w:lang w:val="en-GB"/>
              </w:rPr>
              <w:t> reported CRI</w:t>
            </w:r>
            <w:r>
              <w:rPr>
                <w:rFonts w:eastAsia="Batang"/>
                <w:szCs w:val="20"/>
                <w:lang w:val="en-GB"/>
              </w:rPr>
              <w:t>.</w:t>
            </w:r>
          </w:p>
          <w:p>
            <w:pPr>
              <w:snapToGrid w:val="0"/>
              <w:spacing w:before="0" w:after="0" w:line="240" w:lineRule="auto"/>
              <w:jc w:val="left"/>
            </w:pPr>
            <w:r>
              <w:rPr>
                <w:rFonts w:eastAsia="Batang"/>
                <w:szCs w:val="20"/>
                <w:lang w:val="en-GB" w:eastAsia="ko-KR"/>
              </w:rPr>
              <w:t xml:space="preserve">Note: For UCI fields in wideband (G0), </w:t>
            </w:r>
            <w:r>
              <w:rPr>
                <w:szCs w:val="20"/>
                <w:lang w:val="en-GB" w:eastAsia="en-US"/>
              </w:rPr>
              <w:t>G1 PMI components (</w:t>
            </w:r>
            <w:r>
              <w:rPr>
                <w:rFonts w:eastAsia="Batang"/>
                <w:szCs w:val="20"/>
                <w:lang w:val="en-GB" w:eastAsia="en-US"/>
              </w:rPr>
              <w:t>based on Rel-16 eType-II CB in Section 6.3.2.1.2, TS 38.212</w:t>
            </w:r>
            <w:r>
              <w:rPr>
                <w:szCs w:val="20"/>
                <w:lang w:val="en-GB" w:eastAsia="en-US"/>
              </w:rPr>
              <w:t>)</w:t>
            </w:r>
            <w:r>
              <w:rPr>
                <w:rFonts w:eastAsia="Batang"/>
                <w:szCs w:val="20"/>
                <w:lang w:val="en-GB" w:eastAsia="ko-KR"/>
              </w:rPr>
              <w:t xml:space="preserve">, and </w:t>
            </w:r>
            <w:r>
              <w:rPr>
                <w:szCs w:val="20"/>
                <w:lang w:val="en-GB" w:eastAsia="en-US"/>
              </w:rPr>
              <w:t>G2 PMI components</w:t>
            </w:r>
            <w:r>
              <w:rPr>
                <w:rFonts w:eastAsia="Batang"/>
                <w:szCs w:val="20"/>
                <w:lang w:val="en-GB" w:eastAsia="ko-KR"/>
              </w:rPr>
              <w:t>, legacy design is fully reused.</w:t>
            </w:r>
            <w:r>
              <w:rPr>
                <w:rFonts w:ascii="Times" w:hAnsi="Times" w:eastAsia="Batang"/>
                <w:szCs w:val="20"/>
                <w:lang w:val="en-GB" w:eastAsia="en-US"/>
              </w:rPr>
              <w:t xml:space="preserve"> </w:t>
            </w:r>
          </w:p>
        </w:tc>
      </w:tr>
    </w:tbl>
    <w:p>
      <w:pPr>
        <w:pStyle w:val="112"/>
        <w:ind w:firstLine="0" w:firstLineChars="0"/>
        <w:rPr>
          <w:szCs w:val="24"/>
        </w:rPr>
      </w:pPr>
      <w:r>
        <w:rPr>
          <w:rFonts w:hint="eastAsia"/>
        </w:rPr>
        <w:t xml:space="preserve">As reflected in these agreements, </w:t>
      </w:r>
      <w:r>
        <w:rPr>
          <w:rFonts w:eastAsia="Malgun Gothic"/>
          <w:szCs w:val="20"/>
          <w:lang w:val="en-GB" w:eastAsia="ko-KR"/>
        </w:rPr>
        <w:t>regarding UCI omission for the UCI reported</w:t>
      </w:r>
      <w:r>
        <w:rPr>
          <w:rFonts w:hint="eastAsia"/>
          <w:szCs w:val="20"/>
        </w:rPr>
        <w:t xml:space="preserve"> in CSI part-1 and</w:t>
      </w:r>
      <w:r>
        <w:rPr>
          <w:rFonts w:eastAsia="Malgun Gothic"/>
          <w:szCs w:val="20"/>
          <w:lang w:val="en-GB" w:eastAsia="ko-KR"/>
        </w:rPr>
        <w:t xml:space="preserve"> in CSI part</w:t>
      </w:r>
      <w:r>
        <w:rPr>
          <w:rFonts w:hint="eastAsia"/>
          <w:szCs w:val="20"/>
        </w:rPr>
        <w:t>-</w:t>
      </w:r>
      <w:r>
        <w:rPr>
          <w:rFonts w:eastAsia="Malgun Gothic"/>
          <w:szCs w:val="20"/>
          <w:lang w:val="en-GB" w:eastAsia="ko-KR"/>
        </w:rPr>
        <w:t xml:space="preserve">2, other than </w:t>
      </w:r>
      <w:r>
        <w:rPr>
          <w:rFonts w:hint="eastAsia" w:eastAsiaTheme="minorEastAsia"/>
          <w:szCs w:val="24"/>
          <w:lang w:val="en-GB"/>
        </w:rPr>
        <w:t>C</w:t>
      </w:r>
      <w:r>
        <w:rPr>
          <w:rFonts w:eastAsiaTheme="minorEastAsia"/>
          <w:szCs w:val="24"/>
          <w:lang w:val="en-GB"/>
        </w:rPr>
        <w:t>SI part</w:t>
      </w:r>
      <w:r>
        <w:rPr>
          <w:rFonts w:hint="eastAsia" w:eastAsiaTheme="minorEastAsia"/>
          <w:szCs w:val="24"/>
        </w:rPr>
        <w:t>-</w:t>
      </w:r>
      <w:r>
        <w:rPr>
          <w:rFonts w:eastAsiaTheme="minorEastAsia"/>
          <w:szCs w:val="24"/>
          <w:lang w:val="en-GB"/>
        </w:rPr>
        <w:t>2 wideband/group</w:t>
      </w:r>
      <w:r>
        <w:rPr>
          <w:rFonts w:hint="eastAsia" w:eastAsiaTheme="minorEastAsia"/>
          <w:szCs w:val="24"/>
        </w:rPr>
        <w:t>-</w:t>
      </w:r>
      <w:r>
        <w:rPr>
          <w:rFonts w:eastAsia="Malgun Gothic"/>
          <w:szCs w:val="20"/>
          <w:lang w:val="en-GB" w:eastAsia="ko-KR"/>
        </w:rPr>
        <w:t xml:space="preserve">0 (G0), </w:t>
      </w:r>
      <w:r>
        <w:rPr>
          <w:rFonts w:hint="eastAsia"/>
          <w:szCs w:val="20"/>
        </w:rPr>
        <w:t>w</w:t>
      </w:r>
      <w:r>
        <w:rPr>
          <w:rFonts w:eastAsiaTheme="minorEastAsia"/>
          <w:szCs w:val="24"/>
          <w:lang w:val="en-GB"/>
        </w:rPr>
        <w:t>e agre</w:t>
      </w:r>
      <w:r>
        <w:rPr>
          <w:rFonts w:hint="eastAsia" w:eastAsiaTheme="minorEastAsia"/>
          <w:szCs w:val="24"/>
        </w:rPr>
        <w:t>ed</w:t>
      </w:r>
      <w:r>
        <w:rPr>
          <w:rFonts w:eastAsiaTheme="minorEastAsia"/>
          <w:szCs w:val="24"/>
          <w:lang w:val="en-GB"/>
        </w:rPr>
        <w:t xml:space="preserve"> to put the </w:t>
      </w:r>
      <m:oMath>
        <m:sSub>
          <m:sSubPr>
            <m:ctrlPr>
              <w:rPr>
                <w:rFonts w:ascii="Cambria Math" w:hAnsi="Cambria Math" w:eastAsiaTheme="minorEastAsia"/>
                <w:szCs w:val="24"/>
                <w:lang w:val="en-GB"/>
              </w:rPr>
            </m:ctrlPr>
          </m:sSubPr>
          <m:e>
            <m:r>
              <m:rPr/>
              <w:rPr>
                <w:rFonts w:ascii="Cambria Math" w:hAnsi="Cambria Math" w:eastAsiaTheme="minorEastAsia"/>
                <w:szCs w:val="24"/>
                <w:lang w:val="en-GB"/>
              </w:rPr>
              <m:t>M</m:t>
            </m:r>
            <m:ctrlPr>
              <w:rPr>
                <w:rFonts w:ascii="Cambria Math" w:hAnsi="Cambria Math" w:eastAsiaTheme="minorEastAsia"/>
                <w:szCs w:val="24"/>
                <w:lang w:val="en-GB"/>
              </w:rPr>
            </m:ctrlPr>
          </m:e>
          <m:sub>
            <m:r>
              <m:rPr>
                <m:sty m:val="p"/>
              </m:rPr>
              <w:rPr>
                <w:rFonts w:ascii="Cambria Math" w:hAnsi="Cambria Math" w:eastAsiaTheme="minorEastAsia"/>
                <w:szCs w:val="24"/>
                <w:lang w:val="en-GB"/>
              </w:rPr>
              <m:t>R</m:t>
            </m:r>
            <m:ctrlPr>
              <w:rPr>
                <w:rFonts w:ascii="Cambria Math" w:hAnsi="Cambria Math" w:eastAsiaTheme="minorEastAsia"/>
                <w:szCs w:val="24"/>
                <w:lang w:val="en-GB"/>
              </w:rPr>
            </m:ctrlPr>
          </m:sub>
        </m:sSub>
      </m:oMath>
      <w:r>
        <w:rPr>
          <w:rFonts w:hint="eastAsia" w:eastAsiaTheme="minorEastAsia"/>
          <w:szCs w:val="24"/>
          <w:lang w:val="en-GB"/>
        </w:rPr>
        <w:t xml:space="preserve"> </w:t>
      </w:r>
      <w:r>
        <w:rPr>
          <w:rFonts w:eastAsiaTheme="minorEastAsia"/>
          <w:szCs w:val="24"/>
          <w:lang w:val="en-GB"/>
        </w:rPr>
        <w:t xml:space="preserve">CRIs in front of the other </w:t>
      </w:r>
      <m:oMath>
        <m:r>
          <m:rPr/>
          <w:rPr>
            <w:rFonts w:ascii="Cambria Math" w:hAnsi="Cambria Math" w:eastAsiaTheme="minorEastAsia"/>
            <w:szCs w:val="24"/>
            <w:lang w:val="en-GB"/>
          </w:rPr>
          <m:t>M−</m:t>
        </m:r>
        <m:sSub>
          <m:sSubPr>
            <m:ctrlPr>
              <w:rPr>
                <w:rFonts w:ascii="Cambria Math" w:hAnsi="Cambria Math" w:eastAsiaTheme="minorEastAsia"/>
                <w:szCs w:val="24"/>
                <w:lang w:val="en-GB"/>
              </w:rPr>
            </m:ctrlPr>
          </m:sSubPr>
          <m:e>
            <m:r>
              <m:rPr/>
              <w:rPr>
                <w:rFonts w:ascii="Cambria Math" w:hAnsi="Cambria Math" w:eastAsiaTheme="minorEastAsia"/>
                <w:szCs w:val="24"/>
                <w:lang w:val="en-GB"/>
              </w:rPr>
              <m:t>M</m:t>
            </m:r>
            <m:ctrlPr>
              <w:rPr>
                <w:rFonts w:ascii="Cambria Math" w:hAnsi="Cambria Math" w:eastAsiaTheme="minorEastAsia"/>
                <w:szCs w:val="24"/>
                <w:lang w:val="en-GB"/>
              </w:rPr>
            </m:ctrlPr>
          </m:e>
          <m:sub>
            <m:r>
              <m:rPr>
                <m:sty m:val="p"/>
              </m:rPr>
              <w:rPr>
                <w:rFonts w:ascii="Cambria Math" w:hAnsi="Cambria Math" w:eastAsiaTheme="minorEastAsia"/>
                <w:szCs w:val="24"/>
                <w:lang w:val="en-GB"/>
              </w:rPr>
              <m:t>R</m:t>
            </m:r>
            <m:ctrlPr>
              <w:rPr>
                <w:rFonts w:ascii="Cambria Math" w:hAnsi="Cambria Math" w:eastAsiaTheme="minorEastAsia"/>
                <w:szCs w:val="24"/>
                <w:lang w:val="en-GB"/>
              </w:rPr>
            </m:ctrlPr>
          </m:sub>
        </m:sSub>
      </m:oMath>
      <w:r>
        <w:rPr>
          <w:rFonts w:hint="eastAsia" w:eastAsiaTheme="minorEastAsia"/>
          <w:szCs w:val="24"/>
          <w:lang w:val="en-GB"/>
        </w:rPr>
        <w:t xml:space="preserve"> </w:t>
      </w:r>
      <w:r>
        <w:rPr>
          <w:rFonts w:eastAsiaTheme="minorEastAsia"/>
          <w:szCs w:val="24"/>
          <w:lang w:val="en-GB"/>
        </w:rPr>
        <w:t>CRIs for CSI part1 and CSI part</w:t>
      </w:r>
      <w:r>
        <w:rPr>
          <w:rFonts w:hint="eastAsia" w:eastAsiaTheme="minorEastAsia"/>
          <w:szCs w:val="24"/>
        </w:rPr>
        <w:t>-</w:t>
      </w:r>
      <w:r>
        <w:rPr>
          <w:rFonts w:eastAsiaTheme="minorEastAsia"/>
          <w:szCs w:val="24"/>
          <w:lang w:val="en-GB"/>
        </w:rPr>
        <w:t>2 subband/group-1/</w:t>
      </w:r>
      <w:r>
        <w:rPr>
          <w:rFonts w:hint="eastAsia" w:eastAsiaTheme="minorEastAsia"/>
          <w:szCs w:val="24"/>
        </w:rPr>
        <w:t>2. Therefore, t</w:t>
      </w:r>
      <w:r>
        <w:rPr>
          <w:rFonts w:eastAsia="Batang"/>
          <w:szCs w:val="24"/>
          <w:lang w:val="en-GB"/>
        </w:rPr>
        <w:t xml:space="preserve">o have a unified design, the </w:t>
      </w:r>
      <m:oMath>
        <m:sSub>
          <m:sSubPr>
            <m:ctrlPr>
              <w:rPr>
                <w:rFonts w:ascii="Cambria Math" w:hAnsi="Cambria Math" w:eastAsiaTheme="minorEastAsia"/>
                <w:szCs w:val="24"/>
                <w:lang w:val="en-GB"/>
              </w:rPr>
            </m:ctrlPr>
          </m:sSubPr>
          <m:e>
            <m:r>
              <m:rPr/>
              <w:rPr>
                <w:rFonts w:ascii="Cambria Math" w:hAnsi="Cambria Math" w:eastAsiaTheme="minorEastAsia"/>
                <w:szCs w:val="24"/>
                <w:lang w:val="en-GB"/>
              </w:rPr>
              <m:t>M</m:t>
            </m:r>
            <m:ctrlPr>
              <w:rPr>
                <w:rFonts w:ascii="Cambria Math" w:hAnsi="Cambria Math" w:eastAsiaTheme="minorEastAsia"/>
                <w:szCs w:val="24"/>
                <w:lang w:val="en-GB"/>
              </w:rPr>
            </m:ctrlPr>
          </m:e>
          <m:sub>
            <m:r>
              <m:rPr>
                <m:sty m:val="p"/>
              </m:rPr>
              <w:rPr>
                <w:rFonts w:ascii="Cambria Math" w:hAnsi="Cambria Math" w:eastAsiaTheme="minorEastAsia"/>
                <w:szCs w:val="24"/>
                <w:lang w:val="en-GB"/>
              </w:rPr>
              <m:t>R</m:t>
            </m:r>
            <m:ctrlPr>
              <w:rPr>
                <w:rFonts w:ascii="Cambria Math" w:hAnsi="Cambria Math" w:eastAsiaTheme="minorEastAsia"/>
                <w:szCs w:val="24"/>
                <w:lang w:val="en-GB"/>
              </w:rPr>
            </m:ctrlPr>
          </m:sub>
        </m:sSub>
      </m:oMath>
      <w:r>
        <w:rPr>
          <w:rFonts w:hint="eastAsia" w:eastAsiaTheme="minorEastAsia"/>
          <w:szCs w:val="24"/>
          <w:lang w:val="en-GB"/>
        </w:rPr>
        <w:t xml:space="preserve"> </w:t>
      </w:r>
      <w:r>
        <w:rPr>
          <w:rFonts w:eastAsiaTheme="minorEastAsia"/>
          <w:szCs w:val="24"/>
          <w:lang w:val="en-GB"/>
        </w:rPr>
        <w:t xml:space="preserve">CRIs should also be put in front of the other </w:t>
      </w:r>
      <m:oMath>
        <m:r>
          <m:rPr/>
          <w:rPr>
            <w:rFonts w:ascii="Cambria Math" w:hAnsi="Cambria Math" w:eastAsiaTheme="minorEastAsia"/>
            <w:szCs w:val="24"/>
            <w:lang w:val="en-GB"/>
          </w:rPr>
          <m:t>M−</m:t>
        </m:r>
        <m:sSub>
          <m:sSubPr>
            <m:ctrlPr>
              <w:rPr>
                <w:rFonts w:ascii="Cambria Math" w:hAnsi="Cambria Math" w:eastAsiaTheme="minorEastAsia"/>
                <w:szCs w:val="24"/>
                <w:lang w:val="en-GB"/>
              </w:rPr>
            </m:ctrlPr>
          </m:sSubPr>
          <m:e>
            <m:r>
              <m:rPr/>
              <w:rPr>
                <w:rFonts w:ascii="Cambria Math" w:hAnsi="Cambria Math" w:eastAsiaTheme="minorEastAsia"/>
                <w:szCs w:val="24"/>
                <w:lang w:val="en-GB"/>
              </w:rPr>
              <m:t>M</m:t>
            </m:r>
            <m:ctrlPr>
              <w:rPr>
                <w:rFonts w:ascii="Cambria Math" w:hAnsi="Cambria Math" w:eastAsiaTheme="minorEastAsia"/>
                <w:szCs w:val="24"/>
                <w:lang w:val="en-GB"/>
              </w:rPr>
            </m:ctrlPr>
          </m:e>
          <m:sub>
            <m:r>
              <m:rPr>
                <m:sty m:val="p"/>
              </m:rPr>
              <w:rPr>
                <w:rFonts w:ascii="Cambria Math" w:hAnsi="Cambria Math" w:eastAsiaTheme="minorEastAsia"/>
                <w:szCs w:val="24"/>
                <w:lang w:val="en-GB"/>
              </w:rPr>
              <m:t>R</m:t>
            </m:r>
            <m:ctrlPr>
              <w:rPr>
                <w:rFonts w:ascii="Cambria Math" w:hAnsi="Cambria Math" w:eastAsiaTheme="minorEastAsia"/>
                <w:szCs w:val="24"/>
                <w:lang w:val="en-GB"/>
              </w:rPr>
            </m:ctrlPr>
          </m:sub>
        </m:sSub>
      </m:oMath>
      <w:r>
        <w:rPr>
          <w:rFonts w:hint="eastAsia" w:eastAsiaTheme="minorEastAsia"/>
          <w:szCs w:val="24"/>
          <w:lang w:val="en-GB"/>
        </w:rPr>
        <w:t xml:space="preserve"> </w:t>
      </w:r>
      <w:r>
        <w:rPr>
          <w:rFonts w:eastAsiaTheme="minorEastAsia"/>
          <w:szCs w:val="24"/>
          <w:lang w:val="en-GB"/>
        </w:rPr>
        <w:t>CRIs for CSI</w:t>
      </w:r>
      <w:r>
        <w:rPr>
          <w:rFonts w:eastAsia="Batang"/>
          <w:szCs w:val="24"/>
          <w:lang w:val="en-GB"/>
        </w:rPr>
        <w:t xml:space="preserve"> part</w:t>
      </w:r>
      <w:r>
        <w:rPr>
          <w:rFonts w:hint="eastAsia" w:eastAsia="Batang"/>
          <w:szCs w:val="24"/>
        </w:rPr>
        <w:t>-</w:t>
      </w:r>
      <w:r>
        <w:rPr>
          <w:rFonts w:eastAsia="Batang"/>
          <w:szCs w:val="24"/>
          <w:lang w:val="en-GB"/>
        </w:rPr>
        <w:t>2 wideband/group-0</w:t>
      </w:r>
      <w:r>
        <w:rPr>
          <w:rFonts w:hint="eastAsia" w:eastAsia="Batang"/>
          <w:szCs w:val="24"/>
        </w:rPr>
        <w:t xml:space="preserve">. </w:t>
      </w:r>
      <w:r>
        <w:rPr>
          <w:rFonts w:eastAsia="Malgun Gothic"/>
          <w:szCs w:val="20"/>
          <w:lang w:val="en-GB" w:eastAsia="ko-KR"/>
        </w:rPr>
        <w:t xml:space="preserve">For the Rel-19 CRI-based CSI refinement for up to 128 CSI-RS ports, regarding UCI omission for the UCI reported in </w:t>
      </w:r>
      <w:r>
        <w:rPr>
          <w:rFonts w:hint="eastAsia" w:eastAsiaTheme="minorEastAsia"/>
          <w:szCs w:val="24"/>
          <w:lang w:val="en-GB"/>
        </w:rPr>
        <w:t>C</w:t>
      </w:r>
      <w:r>
        <w:rPr>
          <w:rFonts w:eastAsiaTheme="minorEastAsia"/>
          <w:szCs w:val="24"/>
          <w:lang w:val="en-GB"/>
        </w:rPr>
        <w:t>SI part</w:t>
      </w:r>
      <w:r>
        <w:rPr>
          <w:rFonts w:hint="eastAsia" w:eastAsiaTheme="minorEastAsia"/>
          <w:szCs w:val="24"/>
        </w:rPr>
        <w:t>-</w:t>
      </w:r>
      <w:r>
        <w:rPr>
          <w:rFonts w:eastAsiaTheme="minorEastAsia"/>
          <w:szCs w:val="24"/>
          <w:lang w:val="en-GB"/>
        </w:rPr>
        <w:t>2 wideband/group-0</w:t>
      </w:r>
      <w:r>
        <w:rPr>
          <w:rFonts w:eastAsia="Malgun Gothic"/>
          <w:szCs w:val="20"/>
          <w:lang w:val="en-GB" w:eastAsia="ko-KR"/>
        </w:rPr>
        <w:t>,</w:t>
      </w:r>
      <w:r>
        <w:rPr>
          <w:rFonts w:eastAsia="Malgun Gothic"/>
          <w:i/>
          <w:szCs w:val="20"/>
          <w:lang w:val="en-GB" w:eastAsia="ko-KR"/>
        </w:rPr>
        <w:t xml:space="preserve"> </w:t>
      </w:r>
      <w:r>
        <w:rPr>
          <w:rFonts w:hint="eastAsia" w:eastAsiaTheme="minorEastAsia"/>
          <w:szCs w:val="24"/>
          <w:lang w:val="en-GB"/>
        </w:rPr>
        <w:t>C</w:t>
      </w:r>
      <w:r>
        <w:rPr>
          <w:rFonts w:eastAsiaTheme="minorEastAsia"/>
          <w:szCs w:val="24"/>
          <w:lang w:val="en-GB"/>
        </w:rPr>
        <w:t>SI part</w:t>
      </w:r>
      <w:r>
        <w:rPr>
          <w:rFonts w:hint="eastAsia" w:eastAsiaTheme="minorEastAsia"/>
          <w:szCs w:val="24"/>
        </w:rPr>
        <w:t>-</w:t>
      </w:r>
      <w:r>
        <w:rPr>
          <w:rFonts w:eastAsiaTheme="minorEastAsia"/>
          <w:szCs w:val="24"/>
          <w:lang w:val="en-GB"/>
        </w:rPr>
        <w:t>2 wideband/group-0</w:t>
      </w:r>
      <w:r>
        <w:rPr>
          <w:rFonts w:eastAsia="Batang"/>
          <w:iCs/>
          <w:szCs w:val="20"/>
          <w:lang w:val="en-GB" w:eastAsia="en-US"/>
        </w:rPr>
        <w:t xml:space="preserve"> is either reported entirely or dropped entirely, with the following UCI packing order</w:t>
      </w:r>
      <w:r>
        <w:rPr>
          <w:rFonts w:hint="eastAsia"/>
          <w:iCs/>
          <w:szCs w:val="20"/>
        </w:rPr>
        <w:t>:</w:t>
      </w:r>
    </w:p>
    <w:p>
      <w:pPr>
        <w:pStyle w:val="112"/>
        <w:numPr>
          <w:ilvl w:val="0"/>
          <w:numId w:val="13"/>
        </w:numPr>
        <w:spacing w:before="0" w:after="0"/>
        <w:ind w:left="839" w:firstLineChars="0"/>
        <w:rPr>
          <w:lang w:val="en-GB"/>
        </w:rPr>
      </w:pPr>
      <w:r>
        <w:rPr>
          <w:lang w:val="en-GB"/>
        </w:rPr>
        <w:t>CSI part</w:t>
      </w:r>
      <w:r>
        <w:rPr>
          <w:rFonts w:hint="eastAsia"/>
        </w:rPr>
        <w:t>-</w:t>
      </w:r>
      <w:r>
        <w:rPr>
          <w:lang w:val="en-GB"/>
        </w:rPr>
        <w:t xml:space="preserve">2 wideband/group-0 of the 1st configured CMR among the non-reported </w:t>
      </w:r>
      <m:oMath>
        <m:sSub>
          <m:sSubPr>
            <m:ctrlPr>
              <w:rPr>
                <w:rFonts w:ascii="Cambria Math" w:hAnsi="Cambria Math"/>
                <w:lang w:val="en-GB"/>
              </w:rPr>
            </m:ctrlPr>
          </m:sSubPr>
          <m:e>
            <m:r>
              <m:rPr>
                <m:sty m:val="p"/>
              </m:rPr>
              <w:rPr>
                <w:rFonts w:ascii="Cambria Math" w:hAnsi="Cambria Math"/>
                <w:lang w:val="en-GB"/>
              </w:rPr>
              <m:t>M</m:t>
            </m:r>
            <m:ctrlPr>
              <w:rPr>
                <w:rFonts w:ascii="Cambria Math" w:hAnsi="Cambria Math"/>
                <w:lang w:val="en-GB"/>
              </w:rPr>
            </m:ctrlPr>
          </m:e>
          <m:sub>
            <m:r>
              <m:rPr>
                <m:sty m:val="p"/>
              </m:rPr>
              <w:rPr>
                <w:rFonts w:ascii="Cambria Math" w:hAnsi="Cambria Math"/>
                <w:lang w:val="en-GB"/>
              </w:rPr>
              <m:t>R</m:t>
            </m:r>
            <m:ctrlPr>
              <w:rPr>
                <w:rFonts w:ascii="Cambria Math" w:hAnsi="Cambria Math"/>
                <w:lang w:val="en-GB"/>
              </w:rPr>
            </m:ctrlPr>
          </m:sub>
        </m:sSub>
      </m:oMath>
      <w:r>
        <w:rPr>
          <w:lang w:val="en-GB"/>
        </w:rPr>
        <w:t xml:space="preserve"> CRIs;</w:t>
      </w:r>
    </w:p>
    <w:p>
      <w:pPr>
        <w:pStyle w:val="112"/>
        <w:numPr>
          <w:ilvl w:val="0"/>
          <w:numId w:val="13"/>
        </w:numPr>
        <w:spacing w:before="0" w:after="0"/>
        <w:ind w:left="839" w:firstLineChars="0"/>
        <w:rPr>
          <w:lang w:val="en-GB"/>
        </w:rPr>
      </w:pPr>
      <w:r>
        <w:rPr>
          <w:lang w:val="en-GB"/>
        </w:rPr>
        <w:t>…</w:t>
      </w:r>
    </w:p>
    <w:p>
      <w:pPr>
        <w:pStyle w:val="112"/>
        <w:numPr>
          <w:ilvl w:val="0"/>
          <w:numId w:val="13"/>
        </w:numPr>
        <w:spacing w:before="0" w:after="0"/>
        <w:ind w:left="839" w:firstLineChars="0"/>
        <w:rPr>
          <w:lang w:val="en-GB"/>
        </w:rPr>
      </w:pPr>
      <w:r>
        <w:rPr>
          <w:lang w:val="en-GB"/>
        </w:rPr>
        <w:t>CSI part</w:t>
      </w:r>
      <w:r>
        <w:rPr>
          <w:rFonts w:hint="eastAsia"/>
        </w:rPr>
        <w:t>-</w:t>
      </w:r>
      <w:r>
        <w:rPr>
          <w:lang w:val="en-GB"/>
        </w:rPr>
        <w:t xml:space="preserve">2 wideband/group-0 of the last configured CMR among the non-reported </w:t>
      </w:r>
      <m:oMath>
        <m:sSub>
          <m:sSubPr>
            <m:ctrlPr>
              <w:rPr>
                <w:rFonts w:ascii="Cambria Math" w:hAnsi="Cambria Math"/>
                <w:lang w:val="en-GB"/>
              </w:rPr>
            </m:ctrlPr>
          </m:sSubPr>
          <m:e>
            <m:r>
              <m:rPr>
                <m:sty m:val="p"/>
              </m:rPr>
              <w:rPr>
                <w:rFonts w:ascii="Cambria Math" w:hAnsi="Cambria Math"/>
                <w:lang w:val="en-GB"/>
              </w:rPr>
              <m:t>M</m:t>
            </m:r>
            <m:ctrlPr>
              <w:rPr>
                <w:rFonts w:ascii="Cambria Math" w:hAnsi="Cambria Math"/>
                <w:lang w:val="en-GB"/>
              </w:rPr>
            </m:ctrlPr>
          </m:e>
          <m:sub>
            <m:r>
              <m:rPr>
                <m:sty m:val="p"/>
              </m:rPr>
              <w:rPr>
                <w:rFonts w:ascii="Cambria Math" w:hAnsi="Cambria Math"/>
                <w:lang w:val="en-GB"/>
              </w:rPr>
              <m:t>R</m:t>
            </m:r>
            <m:ctrlPr>
              <w:rPr>
                <w:rFonts w:ascii="Cambria Math" w:hAnsi="Cambria Math"/>
                <w:lang w:val="en-GB"/>
              </w:rPr>
            </m:ctrlPr>
          </m:sub>
        </m:sSub>
      </m:oMath>
      <w:r>
        <w:rPr>
          <w:lang w:val="en-GB"/>
        </w:rPr>
        <w:t xml:space="preserve"> CRIs;</w:t>
      </w:r>
    </w:p>
    <w:p>
      <w:pPr>
        <w:pStyle w:val="112"/>
        <w:numPr>
          <w:ilvl w:val="0"/>
          <w:numId w:val="13"/>
        </w:numPr>
        <w:spacing w:before="0" w:after="0"/>
        <w:ind w:left="839" w:firstLineChars="0"/>
        <w:rPr>
          <w:lang w:val="en-GB"/>
        </w:rPr>
      </w:pPr>
      <w:r>
        <w:rPr>
          <w:lang w:val="en-GB"/>
        </w:rPr>
        <w:t>CSI part</w:t>
      </w:r>
      <w:r>
        <w:rPr>
          <w:rFonts w:hint="eastAsia"/>
        </w:rPr>
        <w:t>-</w:t>
      </w:r>
      <w:r>
        <w:rPr>
          <w:lang w:val="en-GB"/>
        </w:rPr>
        <w:t>2 wideband/group-0 of the 1st reported CRI;</w:t>
      </w:r>
    </w:p>
    <w:p>
      <w:pPr>
        <w:pStyle w:val="112"/>
        <w:numPr>
          <w:ilvl w:val="0"/>
          <w:numId w:val="13"/>
        </w:numPr>
        <w:spacing w:before="0" w:after="0"/>
        <w:ind w:left="839" w:firstLineChars="0"/>
        <w:rPr>
          <w:lang w:val="en-GB"/>
        </w:rPr>
      </w:pPr>
      <w:r>
        <w:rPr>
          <w:lang w:val="en-GB"/>
        </w:rPr>
        <w:t>…</w:t>
      </w:r>
    </w:p>
    <w:p>
      <w:pPr>
        <w:pStyle w:val="112"/>
        <w:numPr>
          <w:ilvl w:val="0"/>
          <w:numId w:val="13"/>
        </w:numPr>
        <w:spacing w:before="0" w:after="0"/>
        <w:ind w:left="839" w:firstLineChars="0"/>
        <w:rPr>
          <w:rFonts w:eastAsia="Batang"/>
          <w:szCs w:val="24"/>
        </w:rPr>
      </w:pPr>
      <w:r>
        <w:rPr>
          <w:lang w:val="en-GB"/>
        </w:rPr>
        <w:t>CSI part</w:t>
      </w:r>
      <w:r>
        <w:rPr>
          <w:rFonts w:hint="eastAsia"/>
        </w:rPr>
        <w:t>-</w:t>
      </w:r>
      <w:r>
        <w:rPr>
          <w:lang w:val="en-GB"/>
        </w:rPr>
        <w:t xml:space="preserve">2 wideband/group-0 of the </w:t>
      </w:r>
      <m:oMath>
        <m:d>
          <m:dPr>
            <m:ctrlPr>
              <w:rPr>
                <w:rFonts w:ascii="Cambria Math" w:hAnsi="Cambria Math"/>
                <w:lang w:val="en-GB"/>
              </w:rPr>
            </m:ctrlPr>
          </m:dPr>
          <m:e>
            <m:r>
              <m:rPr>
                <m:sty m:val="p"/>
              </m:rPr>
              <w:rPr>
                <w:rFonts w:ascii="Cambria Math" w:hAnsi="Cambria Math"/>
                <w:lang w:val="en-GB"/>
              </w:rPr>
              <m:t>M−</m:t>
            </m:r>
            <m:sSub>
              <m:sSubPr>
                <m:ctrlPr>
                  <w:rPr>
                    <w:rFonts w:ascii="Cambria Math" w:hAnsi="Cambria Math"/>
                    <w:lang w:val="en-GB"/>
                  </w:rPr>
                </m:ctrlPr>
              </m:sSubPr>
              <m:e>
                <m:r>
                  <m:rPr>
                    <m:sty m:val="p"/>
                  </m:rPr>
                  <w:rPr>
                    <w:rFonts w:ascii="Cambria Math" w:hAnsi="Cambria Math"/>
                    <w:lang w:val="en-GB"/>
                  </w:rPr>
                  <m:t>M</m:t>
                </m:r>
                <m:ctrlPr>
                  <w:rPr>
                    <w:rFonts w:ascii="Cambria Math" w:hAnsi="Cambria Math"/>
                    <w:lang w:val="en-GB"/>
                  </w:rPr>
                </m:ctrlPr>
              </m:e>
              <m:sub>
                <m:r>
                  <m:rPr>
                    <m:sty m:val="p"/>
                  </m:rPr>
                  <w:rPr>
                    <w:rFonts w:ascii="Cambria Math" w:hAnsi="Cambria Math"/>
                    <w:lang w:val="en-GB"/>
                  </w:rPr>
                  <m:t>R</m:t>
                </m:r>
                <m:ctrlPr>
                  <w:rPr>
                    <w:rFonts w:ascii="Cambria Math" w:hAnsi="Cambria Math"/>
                    <w:lang w:val="en-GB"/>
                  </w:rPr>
                </m:ctrlPr>
              </m:sub>
            </m:sSub>
            <m:ctrlPr>
              <w:rPr>
                <w:rFonts w:ascii="Cambria Math" w:hAnsi="Cambria Math"/>
                <w:lang w:val="en-GB"/>
              </w:rPr>
            </m:ctrlPr>
          </m:e>
        </m:d>
      </m:oMath>
      <w:r>
        <w:rPr>
          <w:lang w:val="en-GB"/>
        </w:rPr>
        <w:t>-th reported CRI</w:t>
      </w:r>
      <w:r>
        <w:rPr>
          <w:rFonts w:hint="eastAsia"/>
        </w:rPr>
        <w:t>.</w:t>
      </w:r>
    </w:p>
    <w:p>
      <w:pPr>
        <w:pStyle w:val="112"/>
        <w:ind w:firstLine="0" w:firstLineChars="0"/>
        <w:rPr>
          <w:i/>
          <w:iCs/>
          <w:szCs w:val="24"/>
        </w:rPr>
      </w:pPr>
      <w:r>
        <w:rPr>
          <w:rFonts w:hint="eastAsia"/>
          <w:b/>
          <w:bCs/>
          <w:i/>
          <w:iCs/>
          <w:szCs w:val="20"/>
        </w:rPr>
        <w:t>Proposal 5:</w:t>
      </w:r>
      <w:r>
        <w:rPr>
          <w:rFonts w:hint="eastAsia"/>
          <w:i/>
          <w:iCs/>
          <w:szCs w:val="20"/>
        </w:rPr>
        <w:t xml:space="preserve"> </w:t>
      </w:r>
      <w:r>
        <w:rPr>
          <w:rFonts w:eastAsia="Malgun Gothic"/>
          <w:i/>
          <w:iCs/>
          <w:szCs w:val="20"/>
          <w:lang w:val="en-GB" w:eastAsia="ko-KR"/>
        </w:rPr>
        <w:t xml:space="preserve">For the Rel-19 CRI-based CSI refinement for up to 128 CSI-RS ports, regarding UCI omission for the UCI reported in </w:t>
      </w:r>
      <w:r>
        <w:rPr>
          <w:rFonts w:hint="eastAsia" w:eastAsiaTheme="minorEastAsia"/>
          <w:i/>
          <w:iCs/>
          <w:szCs w:val="24"/>
          <w:lang w:val="en-GB"/>
        </w:rPr>
        <w:t>C</w:t>
      </w:r>
      <w:r>
        <w:rPr>
          <w:rFonts w:eastAsiaTheme="minorEastAsia"/>
          <w:i/>
          <w:iCs/>
          <w:szCs w:val="24"/>
          <w:lang w:val="en-GB"/>
        </w:rPr>
        <w:t>SI part</w:t>
      </w:r>
      <w:r>
        <w:rPr>
          <w:rFonts w:hint="eastAsia" w:eastAsiaTheme="minorEastAsia"/>
          <w:i/>
          <w:iCs/>
          <w:szCs w:val="24"/>
        </w:rPr>
        <w:t>-</w:t>
      </w:r>
      <w:r>
        <w:rPr>
          <w:rFonts w:eastAsiaTheme="minorEastAsia"/>
          <w:i/>
          <w:iCs/>
          <w:szCs w:val="24"/>
          <w:lang w:val="en-GB"/>
        </w:rPr>
        <w:t>2 wideband/group-0</w:t>
      </w:r>
      <w:r>
        <w:rPr>
          <w:rFonts w:eastAsia="Malgun Gothic"/>
          <w:i/>
          <w:iCs/>
          <w:szCs w:val="20"/>
          <w:lang w:val="en-GB" w:eastAsia="ko-KR"/>
        </w:rPr>
        <w:t xml:space="preserve">, </w:t>
      </w:r>
      <w:r>
        <w:rPr>
          <w:rFonts w:hint="eastAsia" w:eastAsiaTheme="minorEastAsia"/>
          <w:i/>
          <w:iCs/>
          <w:szCs w:val="24"/>
          <w:lang w:val="en-GB"/>
        </w:rPr>
        <w:t>C</w:t>
      </w:r>
      <w:r>
        <w:rPr>
          <w:rFonts w:eastAsiaTheme="minorEastAsia"/>
          <w:i/>
          <w:iCs/>
          <w:szCs w:val="24"/>
          <w:lang w:val="en-GB"/>
        </w:rPr>
        <w:t>SI part</w:t>
      </w:r>
      <w:r>
        <w:rPr>
          <w:rFonts w:hint="eastAsia" w:eastAsiaTheme="minorEastAsia"/>
          <w:i/>
          <w:iCs/>
          <w:szCs w:val="24"/>
        </w:rPr>
        <w:t>-</w:t>
      </w:r>
      <w:r>
        <w:rPr>
          <w:rFonts w:eastAsiaTheme="minorEastAsia"/>
          <w:i/>
          <w:iCs/>
          <w:szCs w:val="24"/>
          <w:lang w:val="en-GB"/>
        </w:rPr>
        <w:t>2 wideband/group-0</w:t>
      </w:r>
      <w:r>
        <w:rPr>
          <w:rFonts w:eastAsia="Batang"/>
          <w:i/>
          <w:iCs/>
          <w:szCs w:val="20"/>
          <w:lang w:val="en-GB" w:eastAsia="en-US"/>
        </w:rPr>
        <w:t xml:space="preserve"> is either reported entirely or dropped entirely, with the following UCI packing order</w:t>
      </w:r>
      <w:r>
        <w:rPr>
          <w:rFonts w:hint="eastAsia"/>
          <w:i/>
          <w:iCs/>
          <w:szCs w:val="20"/>
        </w:rPr>
        <w:t>:</w:t>
      </w:r>
    </w:p>
    <w:p>
      <w:pPr>
        <w:pStyle w:val="112"/>
        <w:numPr>
          <w:ilvl w:val="0"/>
          <w:numId w:val="13"/>
        </w:numPr>
        <w:snapToGrid w:val="0"/>
        <w:spacing w:before="0" w:after="0"/>
        <w:ind w:left="839" w:firstLineChars="0"/>
        <w:rPr>
          <w:i/>
          <w:iCs/>
          <w:lang w:val="en-GB"/>
        </w:rPr>
      </w:pPr>
      <w:r>
        <w:rPr>
          <w:i/>
          <w:iCs/>
          <w:lang w:val="en-GB"/>
        </w:rPr>
        <w:t>CSI part</w:t>
      </w:r>
      <w:r>
        <w:rPr>
          <w:rFonts w:hint="eastAsia"/>
          <w:i/>
          <w:iCs/>
        </w:rPr>
        <w:t>-</w:t>
      </w:r>
      <w:r>
        <w:rPr>
          <w:i/>
          <w:iCs/>
          <w:lang w:val="en-GB"/>
        </w:rPr>
        <w:t xml:space="preserve">2 wideband/group-0 of the 1st configured CMR among the non-reported </w:t>
      </w:r>
      <m:oMath>
        <m:sSub>
          <m:sSubPr>
            <m:ctrlPr>
              <w:rPr>
                <w:rFonts w:ascii="Cambria Math" w:hAnsi="Cambria Math"/>
                <w:i/>
                <w:iCs/>
                <w:lang w:val="en-GB"/>
              </w:rPr>
            </m:ctrlPr>
          </m:sSubPr>
          <m:e>
            <m:r>
              <m:rPr/>
              <w:rPr>
                <w:rFonts w:ascii="Cambria Math" w:hAnsi="Cambria Math"/>
                <w:lang w:val="en-GB"/>
              </w:rPr>
              <m:t>M</m:t>
            </m:r>
            <m:ctrlPr>
              <w:rPr>
                <w:rFonts w:ascii="Cambria Math" w:hAnsi="Cambria Math"/>
                <w:i/>
                <w:iCs/>
                <w:lang w:val="en-GB"/>
              </w:rPr>
            </m:ctrlPr>
          </m:e>
          <m:sub>
            <m:r>
              <m:rPr/>
              <w:rPr>
                <w:rFonts w:ascii="Cambria Math" w:hAnsi="Cambria Math"/>
                <w:lang w:val="en-GB"/>
              </w:rPr>
              <m:t>R</m:t>
            </m:r>
            <m:ctrlPr>
              <w:rPr>
                <w:rFonts w:ascii="Cambria Math" w:hAnsi="Cambria Math"/>
                <w:i/>
                <w:iCs/>
                <w:lang w:val="en-GB"/>
              </w:rPr>
            </m:ctrlPr>
          </m:sub>
        </m:sSub>
      </m:oMath>
      <w:r>
        <w:rPr>
          <w:i/>
          <w:iCs/>
          <w:lang w:val="en-GB"/>
        </w:rPr>
        <w:t xml:space="preserve"> CRIs;</w:t>
      </w:r>
    </w:p>
    <w:p>
      <w:pPr>
        <w:pStyle w:val="112"/>
        <w:numPr>
          <w:ilvl w:val="0"/>
          <w:numId w:val="13"/>
        </w:numPr>
        <w:snapToGrid w:val="0"/>
        <w:spacing w:before="0" w:after="0"/>
        <w:ind w:left="839" w:firstLineChars="0"/>
        <w:rPr>
          <w:i/>
          <w:iCs/>
          <w:lang w:val="en-GB"/>
        </w:rPr>
      </w:pPr>
      <w:r>
        <w:rPr>
          <w:i/>
          <w:iCs/>
          <w:lang w:val="en-GB"/>
        </w:rPr>
        <w:t>…</w:t>
      </w:r>
    </w:p>
    <w:p>
      <w:pPr>
        <w:pStyle w:val="112"/>
        <w:numPr>
          <w:ilvl w:val="0"/>
          <w:numId w:val="13"/>
        </w:numPr>
        <w:snapToGrid w:val="0"/>
        <w:spacing w:before="0" w:after="0"/>
        <w:ind w:left="839" w:firstLineChars="0"/>
        <w:rPr>
          <w:i/>
          <w:iCs/>
          <w:lang w:val="en-GB"/>
        </w:rPr>
      </w:pPr>
      <w:r>
        <w:rPr>
          <w:i/>
          <w:iCs/>
          <w:lang w:val="en-GB"/>
        </w:rPr>
        <w:t>CSI part</w:t>
      </w:r>
      <w:r>
        <w:rPr>
          <w:rFonts w:hint="eastAsia"/>
          <w:i/>
          <w:iCs/>
        </w:rPr>
        <w:t>-</w:t>
      </w:r>
      <w:r>
        <w:rPr>
          <w:i/>
          <w:iCs/>
          <w:lang w:val="en-GB"/>
        </w:rPr>
        <w:t xml:space="preserve">2 wideband/group-0 of the last configured CMR among the non-reported </w:t>
      </w:r>
      <m:oMath>
        <m:sSub>
          <m:sSubPr>
            <m:ctrlPr>
              <w:rPr>
                <w:rFonts w:ascii="Cambria Math" w:hAnsi="Cambria Math"/>
                <w:i/>
                <w:iCs/>
                <w:lang w:val="en-GB"/>
              </w:rPr>
            </m:ctrlPr>
          </m:sSubPr>
          <m:e>
            <m:r>
              <m:rPr/>
              <w:rPr>
                <w:rFonts w:ascii="Cambria Math" w:hAnsi="Cambria Math"/>
                <w:lang w:val="en-GB"/>
              </w:rPr>
              <m:t>M</m:t>
            </m:r>
            <m:ctrlPr>
              <w:rPr>
                <w:rFonts w:ascii="Cambria Math" w:hAnsi="Cambria Math"/>
                <w:i/>
                <w:iCs/>
                <w:lang w:val="en-GB"/>
              </w:rPr>
            </m:ctrlPr>
          </m:e>
          <m:sub>
            <m:r>
              <m:rPr/>
              <w:rPr>
                <w:rFonts w:ascii="Cambria Math" w:hAnsi="Cambria Math"/>
                <w:lang w:val="en-GB"/>
              </w:rPr>
              <m:t>R</m:t>
            </m:r>
            <m:ctrlPr>
              <w:rPr>
                <w:rFonts w:ascii="Cambria Math" w:hAnsi="Cambria Math"/>
                <w:i/>
                <w:iCs/>
                <w:lang w:val="en-GB"/>
              </w:rPr>
            </m:ctrlPr>
          </m:sub>
        </m:sSub>
      </m:oMath>
      <w:r>
        <w:rPr>
          <w:i/>
          <w:iCs/>
          <w:lang w:val="en-GB"/>
        </w:rPr>
        <w:t xml:space="preserve"> CRIs;</w:t>
      </w:r>
    </w:p>
    <w:p>
      <w:pPr>
        <w:pStyle w:val="112"/>
        <w:numPr>
          <w:ilvl w:val="0"/>
          <w:numId w:val="13"/>
        </w:numPr>
        <w:snapToGrid w:val="0"/>
        <w:spacing w:before="0" w:after="0"/>
        <w:ind w:left="839" w:firstLineChars="0"/>
        <w:rPr>
          <w:i/>
          <w:iCs/>
          <w:lang w:val="en-GB"/>
        </w:rPr>
      </w:pPr>
      <w:r>
        <w:rPr>
          <w:i/>
          <w:iCs/>
          <w:lang w:val="en-GB"/>
        </w:rPr>
        <w:t>CSI part</w:t>
      </w:r>
      <w:r>
        <w:rPr>
          <w:rFonts w:hint="eastAsia"/>
          <w:i/>
          <w:iCs/>
        </w:rPr>
        <w:t>-</w:t>
      </w:r>
      <w:r>
        <w:rPr>
          <w:i/>
          <w:iCs/>
          <w:lang w:val="en-GB"/>
        </w:rPr>
        <w:t>2 wideband/group-0 of the 1st reported CRI;</w:t>
      </w:r>
    </w:p>
    <w:p>
      <w:pPr>
        <w:pStyle w:val="112"/>
        <w:numPr>
          <w:ilvl w:val="0"/>
          <w:numId w:val="13"/>
        </w:numPr>
        <w:snapToGrid w:val="0"/>
        <w:spacing w:before="0" w:after="0"/>
        <w:ind w:left="839" w:firstLineChars="0"/>
        <w:rPr>
          <w:i/>
          <w:iCs/>
          <w:lang w:val="en-GB"/>
        </w:rPr>
      </w:pPr>
      <w:r>
        <w:rPr>
          <w:i/>
          <w:iCs/>
          <w:lang w:val="en-GB"/>
        </w:rPr>
        <w:t>…</w:t>
      </w:r>
    </w:p>
    <w:p>
      <w:pPr>
        <w:pStyle w:val="112"/>
        <w:numPr>
          <w:ilvl w:val="0"/>
          <w:numId w:val="13"/>
        </w:numPr>
        <w:snapToGrid w:val="0"/>
        <w:spacing w:before="0" w:after="0"/>
        <w:ind w:left="839" w:firstLineChars="0"/>
        <w:rPr>
          <w:rFonts w:eastAsia="Batang"/>
          <w:szCs w:val="24"/>
          <w:lang w:val="en-GB"/>
        </w:rPr>
      </w:pPr>
      <w:r>
        <w:rPr>
          <w:i/>
          <w:iCs/>
          <w:lang w:val="en-GB"/>
        </w:rPr>
        <w:t>CSI part</w:t>
      </w:r>
      <w:r>
        <w:rPr>
          <w:rFonts w:hint="eastAsia"/>
          <w:i/>
          <w:iCs/>
        </w:rPr>
        <w:t>-</w:t>
      </w:r>
      <w:r>
        <w:rPr>
          <w:i/>
          <w:iCs/>
          <w:lang w:val="en-GB"/>
        </w:rPr>
        <w:t xml:space="preserve">2 wideband/group-0 of the </w:t>
      </w:r>
      <m:oMath>
        <m:d>
          <m:dPr>
            <m:ctrlPr>
              <w:rPr>
                <w:rFonts w:ascii="Cambria Math" w:hAnsi="Cambria Math"/>
                <w:i/>
                <w:iCs/>
                <w:lang w:val="en-GB"/>
              </w:rPr>
            </m:ctrlPr>
          </m:dPr>
          <m:e>
            <m:r>
              <m:rPr/>
              <w:rPr>
                <w:rFonts w:ascii="Cambria Math" w:hAnsi="Cambria Math"/>
                <w:lang w:val="en-GB"/>
              </w:rPr>
              <m:t>M−</m:t>
            </m:r>
            <m:sSub>
              <m:sSubPr>
                <m:ctrlPr>
                  <w:rPr>
                    <w:rFonts w:ascii="Cambria Math" w:hAnsi="Cambria Math"/>
                    <w:i/>
                    <w:iCs/>
                    <w:lang w:val="en-GB"/>
                  </w:rPr>
                </m:ctrlPr>
              </m:sSubPr>
              <m:e>
                <m:r>
                  <m:rPr/>
                  <w:rPr>
                    <w:rFonts w:ascii="Cambria Math" w:hAnsi="Cambria Math"/>
                    <w:lang w:val="en-GB"/>
                  </w:rPr>
                  <m:t>M</m:t>
                </m:r>
                <m:ctrlPr>
                  <w:rPr>
                    <w:rFonts w:ascii="Cambria Math" w:hAnsi="Cambria Math"/>
                    <w:i/>
                    <w:iCs/>
                    <w:lang w:val="en-GB"/>
                  </w:rPr>
                </m:ctrlPr>
              </m:e>
              <m:sub>
                <m:r>
                  <m:rPr/>
                  <w:rPr>
                    <w:rFonts w:ascii="Cambria Math" w:hAnsi="Cambria Math"/>
                    <w:lang w:val="en-GB"/>
                  </w:rPr>
                  <m:t>R</m:t>
                </m:r>
                <m:ctrlPr>
                  <w:rPr>
                    <w:rFonts w:ascii="Cambria Math" w:hAnsi="Cambria Math"/>
                    <w:i/>
                    <w:iCs/>
                    <w:lang w:val="en-GB"/>
                  </w:rPr>
                </m:ctrlPr>
              </m:sub>
            </m:sSub>
            <m:ctrlPr>
              <w:rPr>
                <w:rFonts w:ascii="Cambria Math" w:hAnsi="Cambria Math"/>
                <w:i/>
                <w:iCs/>
                <w:lang w:val="en-GB"/>
              </w:rPr>
            </m:ctrlPr>
          </m:e>
        </m:d>
      </m:oMath>
      <w:r>
        <w:rPr>
          <w:i/>
          <w:iCs/>
          <w:lang w:val="en-GB"/>
        </w:rPr>
        <w:t>-th reported CRI</w:t>
      </w:r>
      <w:r>
        <w:rPr>
          <w:rFonts w:hint="eastAsia"/>
          <w:i/>
          <w:iCs/>
        </w:rPr>
        <w:t>.</w:t>
      </w:r>
    </w:p>
    <w:p>
      <w:pPr>
        <w:pStyle w:val="112"/>
        <w:numPr>
          <w:ilvl w:val="2"/>
          <w:numId w:val="8"/>
        </w:numPr>
        <w:snapToGrid w:val="0"/>
        <w:spacing w:before="72" w:beforeLines="30" w:after="72" w:afterLines="30" w:line="300" w:lineRule="auto"/>
        <w:ind w:firstLineChars="0"/>
        <w:textAlignment w:val="center"/>
        <w:outlineLvl w:val="2"/>
        <w:rPr>
          <w:b/>
          <w:bCs/>
          <w:sz w:val="21"/>
          <w:szCs w:val="21"/>
        </w:rPr>
      </w:pPr>
      <w:r>
        <w:rPr>
          <w:b/>
          <w:bCs/>
          <w:sz w:val="21"/>
          <w:szCs w:val="21"/>
        </w:rPr>
        <w:t>Dropping rule for Rel-19 CRIs-based CSI reporting</w:t>
      </w:r>
    </w:p>
    <w:p>
      <w:pPr>
        <w:pStyle w:val="112"/>
        <w:ind w:firstLine="0" w:firstLineChars="0"/>
        <w:rPr>
          <w:szCs w:val="24"/>
        </w:rPr>
      </w:pPr>
      <w:r>
        <w:rPr>
          <w:rFonts w:hint="eastAsia"/>
        </w:rPr>
        <w:t xml:space="preserve">In current specification TS38.214, regarding Rel-17/18 CSI enhancement, the UE reports a CSI report only after receiving at least one CSI-RS transmission occasion for each of the CSI-RS resources in the corresponding CSI-RS </w:t>
      </w:r>
      <w:r>
        <w:t>r</w:t>
      </w:r>
      <w:r>
        <w:rPr>
          <w:rFonts w:hint="eastAsia"/>
        </w:rPr>
        <w:t xml:space="preserve">esource </w:t>
      </w:r>
      <w:r>
        <w:t>s</w:t>
      </w:r>
      <w:r>
        <w:rPr>
          <w:rFonts w:hint="eastAsia"/>
        </w:rPr>
        <w:t xml:space="preserve">et for channel measurement and one CSI-RS and/or CSI-IM resource transmission occasion for the CSI-RS and/or CSI-IM resource in the corresponding </w:t>
      </w:r>
      <w:r>
        <w:t>r</w:t>
      </w:r>
      <w:r>
        <w:rPr>
          <w:rFonts w:hint="eastAsia"/>
        </w:rPr>
        <w:t xml:space="preserve">esource </w:t>
      </w:r>
      <w:r>
        <w:t>se</w:t>
      </w:r>
      <w:r>
        <w:rPr>
          <w:rFonts w:hint="eastAsia"/>
        </w:rPr>
        <w:t>t for interference measurement no later than the CSI reference resource and within the same DRX Active Time, when DRX is configured, and drops the report otherwise.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keepLines/>
              <w:spacing w:after="180"/>
              <w:ind w:left="1418" w:hanging="1418"/>
              <w:outlineLvl w:val="3"/>
              <w:rPr>
                <w:rFonts w:eastAsia="Batang"/>
                <w:szCs w:val="24"/>
              </w:rPr>
            </w:pPr>
            <w:bookmarkStart w:id="2" w:name="_Toc36645554"/>
            <w:bookmarkStart w:id="3" w:name="_Toc20318021"/>
            <w:bookmarkStart w:id="4" w:name="_Toc29674324"/>
            <w:bookmarkStart w:id="5" w:name="_Toc27299919"/>
            <w:bookmarkStart w:id="6" w:name="_Toc45810599"/>
            <w:bookmarkStart w:id="7" w:name="_Toc169793767"/>
            <w:bookmarkStart w:id="8" w:name="_Toc29673190"/>
            <w:bookmarkStart w:id="9" w:name="_Toc11352131"/>
            <w:bookmarkStart w:id="10" w:name="_Toc29673331"/>
            <w:r>
              <w:rPr>
                <w:rFonts w:ascii="Arial" w:hAnsi="Arial"/>
                <w:sz w:val="24"/>
                <w:lang w:eastAsia="en-US"/>
              </w:rPr>
              <w:t>5.2.2.5</w:t>
            </w:r>
            <w:r>
              <w:rPr>
                <w:rFonts w:ascii="Arial" w:hAnsi="Arial"/>
                <w:sz w:val="24"/>
                <w:lang w:eastAsia="en-US"/>
              </w:rPr>
              <w:tab/>
            </w:r>
            <w:r>
              <w:rPr>
                <w:rFonts w:ascii="Arial" w:hAnsi="Arial"/>
                <w:sz w:val="24"/>
                <w:lang w:eastAsia="en-US"/>
              </w:rPr>
              <w:t>CSI reference resource definition</w:t>
            </w:r>
            <w:bookmarkEnd w:id="2"/>
            <w:bookmarkEnd w:id="3"/>
            <w:bookmarkEnd w:id="4"/>
            <w:bookmarkEnd w:id="5"/>
            <w:bookmarkEnd w:id="6"/>
            <w:bookmarkEnd w:id="7"/>
            <w:bookmarkEnd w:id="8"/>
            <w:bookmarkEnd w:id="9"/>
            <w:bookmarkEnd w:id="10"/>
          </w:p>
          <w:p>
            <w:pPr>
              <w:numPr>
                <w:ilvl w:val="255"/>
                <w:numId w:val="0"/>
              </w:numPr>
              <w:spacing w:line="240" w:lineRule="auto"/>
              <w:jc w:val="center"/>
              <w:rPr>
                <w:rFonts w:eastAsia="Batang"/>
                <w:szCs w:val="24"/>
              </w:rPr>
            </w:pPr>
            <w:r>
              <w:rPr>
                <w:rFonts w:hint="eastAsia"/>
                <w:bCs/>
              </w:rPr>
              <w:t>&lt; Text omitted &gt;</w:t>
            </w:r>
          </w:p>
          <w:p>
            <w:pPr>
              <w:spacing w:before="0" w:after="180" w:line="240" w:lineRule="auto"/>
              <w:jc w:val="left"/>
              <w:rPr>
                <w:color w:val="000000"/>
                <w:szCs w:val="20"/>
                <w:lang w:val="en-GB" w:eastAsia="en-US"/>
              </w:rPr>
            </w:pPr>
            <w:r>
              <w:rPr>
                <w:color w:val="000000"/>
                <w:szCs w:val="20"/>
                <w:lang w:val="en-GB" w:eastAsia="en-US"/>
              </w:rPr>
              <w:t xml:space="preserve">For a CSI-ReportConfig configured with two Resource Groups and </w:t>
            </w:r>
            <m:oMath>
              <m:r>
                <m:rPr/>
                <w:rPr>
                  <w:rFonts w:ascii="Cambria Math" w:hAnsi="Cambria Math"/>
                  <w:color w:val="000000"/>
                </w:rPr>
                <m:t>N</m:t>
              </m:r>
            </m:oMath>
            <w:r>
              <w:rPr>
                <w:color w:val="000000"/>
                <w:szCs w:val="20"/>
                <w:lang w:val="en-GB" w:eastAsia="en-US"/>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CSI-IM occasion for each of the CSI-IM resources in the corresponding Resource Set for interference measurement no later than the CSI reference resource and within the same DRX Active Time when DRX is configured, and drops the report otherwise.</w:t>
            </w:r>
          </w:p>
          <w:p>
            <w:pPr>
              <w:spacing w:before="0" w:after="180" w:line="240" w:lineRule="auto"/>
              <w:jc w:val="left"/>
              <w:rPr>
                <w:color w:val="000000"/>
                <w:szCs w:val="20"/>
                <w:lang w:val="en-GB" w:eastAsia="en-US"/>
              </w:rPr>
            </w:pPr>
            <w:r>
              <w:rPr>
                <w:color w:val="000000"/>
                <w:szCs w:val="20"/>
                <w:lang w:val="en-GB" w:eastAsia="en-US"/>
              </w:rPr>
              <w:t xml:space="preserve">For a </w:t>
            </w:r>
            <w:r>
              <w:rPr>
                <w:i/>
                <w:iCs/>
                <w:color w:val="000000"/>
                <w:szCs w:val="20"/>
                <w:lang w:val="en-GB" w:eastAsia="en-US"/>
              </w:rPr>
              <w:t>CSI-ReportConfig</w:t>
            </w:r>
            <w:r>
              <w:rPr>
                <w:color w:val="000000"/>
                <w:szCs w:val="20"/>
                <w:lang w:val="en-GB" w:eastAsia="en-US"/>
              </w:rPr>
              <w:t xml:space="preserve"> configured with </w:t>
            </w:r>
            <w:r>
              <w:rPr>
                <w:i/>
                <w:iCs/>
                <w:color w:val="000000"/>
                <w:szCs w:val="20"/>
                <w:lang w:val="en-GB"/>
              </w:rPr>
              <w:t>codebookType</w:t>
            </w:r>
            <w:r>
              <w:rPr>
                <w:color w:val="000000"/>
                <w:szCs w:val="20"/>
                <w:lang w:val="en-GB"/>
              </w:rPr>
              <w:t xml:space="preserve"> set to </w:t>
            </w:r>
            <w:r>
              <w:rPr>
                <w:rFonts w:eastAsia="MS Mincho"/>
                <w:color w:val="000000"/>
                <w:szCs w:val="20"/>
                <w:lang w:val="en-GB" w:eastAsia="en-US"/>
              </w:rPr>
              <w:t>'typeII-CJT-r18' or 'typeII-CJT-PortSelection-r18'</w:t>
            </w:r>
            <w:r>
              <w:rPr>
                <w:color w:val="000000"/>
                <w:szCs w:val="20"/>
                <w:lang w:val="en-GB" w:eastAsia="en-US"/>
              </w:rPr>
              <w: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pPr>
              <w:snapToGrid w:val="0"/>
              <w:spacing w:before="0" w:after="180" w:line="240" w:lineRule="auto"/>
              <w:rPr>
                <w:iCs/>
                <w:szCs w:val="20"/>
                <w:lang w:val="en-GB" w:eastAsia="en-US"/>
              </w:rPr>
            </w:pPr>
            <w:r>
              <w:rPr>
                <w:iCs/>
                <w:szCs w:val="20"/>
                <w:lang w:val="en-GB" w:eastAsia="en-US"/>
              </w:rPr>
              <w:t xml:space="preserve">For a </w:t>
            </w:r>
            <w:r>
              <w:rPr>
                <w:rFonts w:eastAsia="MS Mincho"/>
                <w:i/>
                <w:color w:val="000000"/>
                <w:szCs w:val="20"/>
                <w:lang w:val="en-GB" w:eastAsia="en-US"/>
              </w:rPr>
              <w:t>CSI-ReportConfig</w:t>
            </w:r>
            <w:r>
              <w:rPr>
                <w:rFonts w:eastAsia="MS Mincho"/>
                <w:color w:val="000000"/>
                <w:szCs w:val="20"/>
                <w:lang w:val="en-GB" w:eastAsia="en-US"/>
              </w:rPr>
              <w:t xml:space="preserve"> configured with </w:t>
            </w:r>
            <w:r>
              <w:rPr>
                <w:i/>
                <w:szCs w:val="20"/>
                <w:lang w:eastAsia="en-US"/>
              </w:rPr>
              <w:t>codebookType</w:t>
            </w:r>
            <w:r>
              <w:rPr>
                <w:szCs w:val="20"/>
                <w:lang w:eastAsia="en-US"/>
              </w:rPr>
              <w:t xml:space="preserve"> set to 'typeII-Doppler-r18' or 'typeII-Doppler-PortSelection-r18'</w:t>
            </w:r>
            <w:r>
              <w:rPr>
                <w:rFonts w:eastAsia="微软雅黑"/>
                <w:iCs/>
                <w:szCs w:val="20"/>
                <w:lang w:val="en-GB" w:eastAsia="en-US"/>
              </w:rPr>
              <w:t>,</w:t>
            </w:r>
            <w:r>
              <w:rPr>
                <w:rFonts w:hint="eastAsia"/>
                <w:iCs/>
                <w:szCs w:val="20"/>
                <w:lang w:val="en-GB" w:eastAsia="en-US"/>
              </w:rPr>
              <w:t xml:space="preserve"> </w:t>
            </w:r>
            <w:r>
              <w:rPr>
                <w:iCs/>
                <w:szCs w:val="20"/>
                <w:lang w:val="en-GB" w:eastAsia="en-US"/>
              </w:rPr>
              <w:t>after the CSI report</w:t>
            </w:r>
            <w:r>
              <w:rPr>
                <w:color w:val="000000"/>
                <w:szCs w:val="20"/>
                <w:lang w:val="en-GB" w:eastAsia="en-US"/>
              </w:rPr>
              <w:t xml:space="preserve"> (re)configuration, serving cell activation, BWP change, or activation of SP-CSI,</w:t>
            </w:r>
            <w:r>
              <w:rPr>
                <w:iCs/>
                <w:szCs w:val="20"/>
                <w:lang w:val="en-GB" w:eastAsia="en-US"/>
              </w:rPr>
              <w:t xml:space="preserve"> </w:t>
            </w:r>
            <w:r>
              <w:rPr>
                <w:rFonts w:hint="eastAsia"/>
                <w:iCs/>
                <w:szCs w:val="20"/>
                <w:lang w:val="en-GB" w:eastAsia="en-US"/>
              </w:rPr>
              <w:t xml:space="preserve">the UE reports a CSI report only if receiving at least </w:t>
            </w:r>
            <w:r>
              <w:rPr>
                <w:iCs/>
                <w:szCs w:val="20"/>
                <w:lang w:val="en-GB" w:eastAsia="en-US"/>
              </w:rPr>
              <w:t xml:space="preserve">one aperiodic or </w:t>
            </w:r>
            <m:oMath>
              <m:sSub>
                <m:sSubPr>
                  <m:ctrlPr>
                    <w:rPr>
                      <w:rFonts w:ascii="Cambria Math" w:hAnsi="Cambria Math"/>
                      <w:i/>
                      <w:iCs/>
                    </w:rPr>
                  </m:ctrlPr>
                </m:sSubPr>
                <m:e>
                  <m:r>
                    <m:rPr/>
                    <w:rPr>
                      <w:rFonts w:ascii="Cambria Math" w:hAnsi="Cambria Math"/>
                    </w:rPr>
                    <m:t>K</m:t>
                  </m:r>
                  <m:ctrlPr>
                    <w:rPr>
                      <w:rFonts w:ascii="Cambria Math" w:hAnsi="Cambria Math"/>
                      <w:i/>
                      <w:iCs/>
                    </w:rPr>
                  </m:ctrlPr>
                </m:e>
                <m:sub>
                  <m:r>
                    <m:rPr/>
                    <w:rPr>
                      <w:rFonts w:ascii="Cambria Math" w:hAnsi="Cambria Math"/>
                    </w:rPr>
                    <m:t>p</m:t>
                  </m:r>
                  <m:ctrlPr>
                    <w:rPr>
                      <w:rFonts w:ascii="Cambria Math" w:hAnsi="Cambria Math"/>
                      <w:i/>
                      <w:iCs/>
                    </w:rPr>
                  </m:ctrlPr>
                </m:sub>
              </m:sSub>
            </m:oMath>
            <w:r>
              <w:rPr>
                <w:iCs/>
                <w:szCs w:val="20"/>
                <w:lang w:val="en-GB" w:eastAsia="en-US"/>
              </w:rPr>
              <w:t xml:space="preserve"> periodic or semipersistent consecutive</w:t>
            </w:r>
            <w:r>
              <w:rPr>
                <w:rFonts w:hint="eastAsia"/>
                <w:iCs/>
                <w:szCs w:val="20"/>
                <w:lang w:val="en-GB" w:eastAsia="en-US"/>
              </w:rPr>
              <w:t xml:space="preserve"> CSI-RS transmission occasion</w:t>
            </w:r>
            <w:r>
              <w:rPr>
                <w:iCs/>
                <w:szCs w:val="20"/>
                <w:lang w:val="en-GB" w:eastAsia="en-US"/>
              </w:rPr>
              <w:t>s</w:t>
            </w:r>
            <w:r>
              <w:rPr>
                <w:rFonts w:hint="eastAsia"/>
                <w:iCs/>
                <w:szCs w:val="20"/>
                <w:lang w:val="en-GB" w:eastAsia="en-US"/>
              </w:rPr>
              <w:t xml:space="preserve"> for</w:t>
            </w:r>
            <w:r>
              <w:rPr>
                <w:iCs/>
                <w:szCs w:val="20"/>
                <w:lang w:val="en-GB" w:eastAsia="en-US"/>
              </w:rPr>
              <w:t xml:space="preserve"> each CSI-RS resource</w:t>
            </w:r>
            <w:r>
              <w:rPr>
                <w:rFonts w:hint="eastAsia"/>
                <w:iCs/>
                <w:szCs w:val="20"/>
                <w:lang w:val="en-GB" w:eastAsia="en-US"/>
              </w:rPr>
              <w:t xml:space="preserve"> </w:t>
            </w:r>
            <w:r>
              <w:rPr>
                <w:iCs/>
                <w:color w:val="000000"/>
                <w:szCs w:val="20"/>
                <w:lang w:val="en-GB" w:eastAsia="en-US"/>
              </w:rPr>
              <w:t>in the corresponding CSI-RS Resource Set for channel measurement</w:t>
            </w:r>
            <w:r>
              <w:rPr>
                <w:iCs/>
                <w:szCs w:val="20"/>
                <w:lang w:val="en-GB" w:eastAsia="en-US"/>
              </w:rPr>
              <w:t xml:space="preserve"> </w:t>
            </w:r>
            <w:r>
              <w:rPr>
                <w:iCs/>
                <w:color w:val="000000"/>
                <w:szCs w:val="20"/>
                <w:lang w:val="en-GB" w:eastAsia="en-US"/>
              </w:rPr>
              <w:t>and one CSI-RS</w:t>
            </w:r>
            <w:r>
              <w:rPr>
                <w:iCs/>
                <w:szCs w:val="20"/>
                <w:lang w:val="en-GB" w:eastAsia="en-US"/>
              </w:rPr>
              <w:t xml:space="preserve"> and/or CSI-IM resource transmission occasion for the CSI-RS and/or CSI-IM resource in the corresponding Resource Set for interference measurement </w:t>
            </w:r>
            <w:r>
              <w:rPr>
                <w:rFonts w:hint="eastAsia"/>
                <w:iCs/>
                <w:szCs w:val="20"/>
                <w:lang w:val="en-GB" w:eastAsia="en-US"/>
              </w:rPr>
              <w:t xml:space="preserve">no later than </w:t>
            </w:r>
            <w:r>
              <w:rPr>
                <w:iCs/>
                <w:szCs w:val="20"/>
                <w:lang w:val="en-GB" w:eastAsia="en-US"/>
              </w:rPr>
              <w:t xml:space="preserve">the </w:t>
            </w:r>
            <w:r>
              <w:rPr>
                <w:rFonts w:hint="eastAsia"/>
                <w:iCs/>
                <w:szCs w:val="20"/>
                <w:lang w:val="en-GB" w:eastAsia="en-US"/>
              </w:rPr>
              <w:t>CSI reference resource</w:t>
            </w:r>
            <w:r>
              <w:rPr>
                <w:color w:val="000000"/>
                <w:szCs w:val="20"/>
                <w:lang w:val="en-GB" w:eastAsia="en-US"/>
              </w:rPr>
              <w:t xml:space="preserve"> and within the same DRX Active Time, when DRX is configured,</w:t>
            </w:r>
            <w:r>
              <w:rPr>
                <w:rFonts w:hint="eastAsia"/>
                <w:iCs/>
                <w:szCs w:val="20"/>
                <w:lang w:val="en-GB" w:eastAsia="en-US"/>
              </w:rPr>
              <w:t xml:space="preserve"> </w:t>
            </w:r>
            <w:r>
              <w:rPr>
                <w:iCs/>
                <w:szCs w:val="20"/>
                <w:lang w:val="en-GB" w:eastAsia="en-US"/>
              </w:rPr>
              <w:t>and</w:t>
            </w:r>
            <w:r>
              <w:rPr>
                <w:rFonts w:hint="eastAsia"/>
                <w:iCs/>
                <w:szCs w:val="20"/>
                <w:lang w:val="en-GB" w:eastAsia="en-US"/>
              </w:rPr>
              <w:t xml:space="preserve"> drops the report otherwise</w:t>
            </w:r>
            <w:r>
              <w:rPr>
                <w:iCs/>
                <w:szCs w:val="20"/>
                <w:lang w:val="en-GB" w:eastAsia="en-US"/>
              </w:rPr>
              <w:t xml:space="preserve">. The value of </w:t>
            </w:r>
            <m:oMath>
              <m:sSub>
                <m:sSubPr>
                  <m:ctrlPr>
                    <w:rPr>
                      <w:rFonts w:ascii="Cambria Math" w:hAnsi="Cambria Math"/>
                      <w:i/>
                      <w:iCs/>
                    </w:rPr>
                  </m:ctrlPr>
                </m:sSubPr>
                <m:e>
                  <m:r>
                    <m:rPr/>
                    <w:rPr>
                      <w:rFonts w:ascii="Cambria Math" w:hAnsi="Cambria Math"/>
                    </w:rPr>
                    <m:t>K</m:t>
                  </m:r>
                  <m:ctrlPr>
                    <w:rPr>
                      <w:rFonts w:ascii="Cambria Math" w:hAnsi="Cambria Math"/>
                      <w:i/>
                      <w:iCs/>
                    </w:rPr>
                  </m:ctrlPr>
                </m:e>
                <m:sub>
                  <m:r>
                    <m:rPr/>
                    <w:rPr>
                      <w:rFonts w:ascii="Cambria Math" w:hAnsi="Cambria Math"/>
                    </w:rPr>
                    <m:t>p</m:t>
                  </m:r>
                  <m:ctrlPr>
                    <w:rPr>
                      <w:rFonts w:ascii="Cambria Math" w:hAnsi="Cambria Math"/>
                      <w:i/>
                      <w:iCs/>
                    </w:rPr>
                  </m:ctrlPr>
                </m:sub>
              </m:sSub>
              <m:r>
                <m:rPr/>
                <w:rPr>
                  <w:rFonts w:ascii="Cambria Math" w:hAnsi="Cambria Math"/>
                </w:rPr>
                <m:t>∈{1,2,4}</m:t>
              </m:r>
            </m:oMath>
            <w:r>
              <w:rPr>
                <w:iCs/>
                <w:szCs w:val="20"/>
                <w:lang w:val="en-GB" w:eastAsia="en-US"/>
              </w:rPr>
              <w:t xml:space="preserve"> is indicated by UE capability, as defined in clause 5.2.1.6.</w:t>
            </w:r>
          </w:p>
          <w:p>
            <w:pPr>
              <w:snapToGrid w:val="0"/>
              <w:spacing w:before="0" w:after="180" w:line="240" w:lineRule="auto"/>
              <w:rPr>
                <w:rFonts w:eastAsia="Batang"/>
                <w:szCs w:val="24"/>
              </w:rPr>
            </w:pPr>
            <w:r>
              <w:rPr>
                <w:iCs/>
                <w:szCs w:val="20"/>
                <w:lang w:val="en-GB" w:eastAsia="en-US"/>
              </w:rPr>
              <w:t xml:space="preserve">For a </w:t>
            </w:r>
            <w:r>
              <w:rPr>
                <w:rFonts w:eastAsia="MS Mincho"/>
                <w:i/>
                <w:color w:val="000000"/>
                <w:szCs w:val="20"/>
                <w:lang w:val="en-GB" w:eastAsia="en-US"/>
              </w:rPr>
              <w:t>CSI-ReportConfig</w:t>
            </w:r>
            <w:r>
              <w:rPr>
                <w:rFonts w:eastAsia="MS Mincho"/>
                <w:color w:val="000000"/>
                <w:szCs w:val="20"/>
                <w:lang w:val="en-GB" w:eastAsia="en-US"/>
              </w:rPr>
              <w:t xml:space="preserve"> configured with </w:t>
            </w:r>
            <w:r>
              <w:rPr>
                <w:color w:val="000000"/>
                <w:szCs w:val="20"/>
                <w:lang w:eastAsia="en-US"/>
              </w:rPr>
              <w:t xml:space="preserve">the higher layer parameter </w:t>
            </w:r>
            <w:r>
              <w:rPr>
                <w:i/>
                <w:iCs/>
                <w:color w:val="000000"/>
                <w:szCs w:val="20"/>
                <w:lang w:eastAsia="en-US"/>
              </w:rPr>
              <w:t xml:space="preserve">reportQuantity </w:t>
            </w:r>
            <w:r>
              <w:rPr>
                <w:iCs/>
                <w:color w:val="000000"/>
                <w:szCs w:val="20"/>
                <w:lang w:eastAsia="en-US"/>
              </w:rPr>
              <w:t xml:space="preserve">set to 'tdcp', after </w:t>
            </w:r>
            <w:r>
              <w:rPr>
                <w:iCs/>
                <w:szCs w:val="20"/>
                <w:lang w:val="en-GB" w:eastAsia="en-US"/>
              </w:rPr>
              <w:t xml:space="preserve">the CSI report </w:t>
            </w:r>
            <w:r>
              <w:rPr>
                <w:color w:val="000000"/>
                <w:szCs w:val="20"/>
                <w:lang w:val="en-GB" w:eastAsia="en-US"/>
              </w:rPr>
              <w:t xml:space="preserve">(re)configuration, serving cell activation, BWP change, the UE reports a CSI report only after receiving at least one CSI-RS transmission occasion for each CSI-RS resource in the </w:t>
            </w:r>
            <m:oMath>
              <m:sSub>
                <m:sSubPr>
                  <m:ctrlPr>
                    <w:rPr>
                      <w:rFonts w:ascii="Cambria Math" w:hAnsi="Cambria Math"/>
                      <w:i/>
                      <w:color w:val="000000"/>
                    </w:rPr>
                  </m:ctrlPr>
                </m:sSubPr>
                <m:e>
                  <m:r>
                    <m:rPr/>
                    <w:rPr>
                      <w:rFonts w:ascii="Cambria Math" w:hAnsi="Cambria Math"/>
                      <w:color w:val="000000"/>
                    </w:rPr>
                    <m:t>K</m:t>
                  </m:r>
                  <m:ctrlPr>
                    <w:rPr>
                      <w:rFonts w:ascii="Cambria Math" w:hAnsi="Cambria Math"/>
                      <w:i/>
                      <w:color w:val="000000"/>
                    </w:rPr>
                  </m:ctrlPr>
                </m:e>
                <m:sub>
                  <m:r>
                    <m:rPr/>
                    <w:rPr>
                      <w:rFonts w:ascii="Cambria Math" w:hAnsi="Cambria Math"/>
                      <w:color w:val="000000"/>
                    </w:rPr>
                    <m:t>TRS</m:t>
                  </m:r>
                  <m:ctrlPr>
                    <w:rPr>
                      <w:rFonts w:ascii="Cambria Math" w:hAnsi="Cambria Math"/>
                      <w:i/>
                      <w:color w:val="000000"/>
                    </w:rPr>
                  </m:ctrlPr>
                </m:sub>
              </m:sSub>
            </m:oMath>
            <w:r>
              <w:rPr>
                <w:color w:val="000000"/>
                <w:szCs w:val="20"/>
                <w:lang w:val="en-GB" w:eastAsia="en-US"/>
              </w:rPr>
              <w:t xml:space="preserve"> CSI-RS Resource Sets of the CSI-RS Resource Setting for channel measurement </w:t>
            </w:r>
            <w:r>
              <w:rPr>
                <w:rFonts w:hint="eastAsia"/>
                <w:iCs/>
                <w:szCs w:val="20"/>
                <w:lang w:val="en-GB" w:eastAsia="en-US"/>
              </w:rPr>
              <w:t xml:space="preserve">no later than </w:t>
            </w:r>
            <w:r>
              <w:rPr>
                <w:iCs/>
                <w:szCs w:val="20"/>
                <w:lang w:val="en-GB" w:eastAsia="en-US"/>
              </w:rPr>
              <w:t xml:space="preserve">the </w:t>
            </w:r>
            <w:r>
              <w:rPr>
                <w:rFonts w:hint="eastAsia"/>
                <w:iCs/>
                <w:szCs w:val="20"/>
                <w:lang w:val="en-GB" w:eastAsia="en-US"/>
              </w:rPr>
              <w:t>CSI reference resource</w:t>
            </w:r>
            <w:r>
              <w:rPr>
                <w:iCs/>
                <w:color w:val="000000"/>
                <w:szCs w:val="20"/>
                <w:lang w:val="en-GB" w:eastAsia="en-US"/>
              </w:rPr>
              <w:t xml:space="preserve"> within the same DRX active time, when DRX is configured, and drop the report otherwise.</w:t>
            </w:r>
          </w:p>
        </w:tc>
      </w:tr>
    </w:tbl>
    <w:p>
      <w:pPr>
        <w:pStyle w:val="112"/>
        <w:ind w:firstLine="0" w:firstLineChars="0"/>
        <w:rPr>
          <w:szCs w:val="24"/>
        </w:rPr>
      </w:pPr>
      <w:r>
        <w:rPr>
          <w:rFonts w:eastAsia="Batang"/>
          <w:szCs w:val="24"/>
        </w:rPr>
        <w:t xml:space="preserve">Similarly, </w:t>
      </w:r>
      <w:r>
        <w:rPr>
          <w:rFonts w:hint="eastAsia"/>
          <w:iCs/>
          <w:szCs w:val="20"/>
        </w:rPr>
        <w:t xml:space="preserve">the dropping rule for Rel-19 </w:t>
      </w:r>
      <w:r>
        <w:rPr>
          <w:rFonts w:eastAsia="Batang"/>
          <w:iCs/>
          <w:szCs w:val="20"/>
          <w:lang w:val="en-GB" w:eastAsia="en-US"/>
        </w:rPr>
        <w:t>CRI-based CSI</w:t>
      </w:r>
      <w:r>
        <w:rPr>
          <w:rFonts w:hint="eastAsia"/>
          <w:iCs/>
          <w:szCs w:val="20"/>
        </w:rPr>
        <w:t xml:space="preserve"> can f</w:t>
      </w:r>
      <w:r>
        <w:rPr>
          <w:rFonts w:eastAsiaTheme="minorEastAsia"/>
          <w:szCs w:val="24"/>
        </w:rPr>
        <w:t xml:space="preserve">ollow the legacy </w:t>
      </w:r>
      <w:r>
        <w:rPr>
          <w:rFonts w:hint="eastAsia"/>
        </w:rPr>
        <w:t>Rel-17/18 CSI</w:t>
      </w:r>
      <w:r>
        <w:rPr>
          <w:rFonts w:eastAsiaTheme="minorEastAsia"/>
          <w:szCs w:val="24"/>
        </w:rPr>
        <w:t xml:space="preserve"> dropping rule with necessary correction</w:t>
      </w:r>
      <w:r>
        <w:rPr>
          <w:rFonts w:hint="eastAsia" w:eastAsiaTheme="minorEastAsia"/>
          <w:szCs w:val="24"/>
        </w:rPr>
        <w:t xml:space="preserve">. Therefore, </w:t>
      </w:r>
      <w:r>
        <w:rPr>
          <w:rFonts w:eastAsia="Batang"/>
          <w:szCs w:val="24"/>
        </w:rPr>
        <w:t>f</w:t>
      </w:r>
      <w:r>
        <w:rPr>
          <w:rFonts w:eastAsia="Batang"/>
          <w:iCs/>
          <w:szCs w:val="20"/>
          <w:lang w:val="en-GB" w:eastAsia="en-US"/>
        </w:rPr>
        <w:t>or the Rel-19 CRI-based CSI refinement for up to 128 CSI-RS ports</w:t>
      </w:r>
      <w:r>
        <w:rPr>
          <w:rFonts w:hint="eastAsia"/>
          <w:iCs/>
          <w:szCs w:val="20"/>
        </w:rPr>
        <w:t xml:space="preserve">, </w:t>
      </w:r>
      <w:r>
        <w:rPr>
          <w:color w:val="000000"/>
          <w:szCs w:val="20"/>
          <w:lang w:val="en-GB" w:eastAsia="en-US"/>
        </w:rPr>
        <w:t xml:space="preserve">after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color w:val="000000"/>
          <w:szCs w:val="20"/>
        </w:rPr>
        <w:t>r</w:t>
      </w:r>
      <w:r>
        <w:rPr>
          <w:color w:val="000000"/>
          <w:szCs w:val="20"/>
          <w:lang w:val="en-GB" w:eastAsia="en-US"/>
        </w:rPr>
        <w:t xml:space="preserve">esource </w:t>
      </w:r>
      <w:r>
        <w:rPr>
          <w:rFonts w:hint="eastAsia"/>
          <w:color w:val="000000"/>
          <w:szCs w:val="20"/>
        </w:rPr>
        <w:t>s</w:t>
      </w:r>
      <w:r>
        <w:rPr>
          <w:szCs w:val="20"/>
          <w:lang w:val="en-GB" w:eastAsia="en-US"/>
        </w:rPr>
        <w:t xml:space="preserve">et for channel measurement and at least one CSI-RS and/or CSI-IM resource transmission occasion for each of the CSI-RS and/or CSI-IM resource in the corresponding </w:t>
      </w:r>
      <w:r>
        <w:rPr>
          <w:rFonts w:hint="eastAsia"/>
          <w:szCs w:val="20"/>
        </w:rPr>
        <w:t>r</w:t>
      </w:r>
      <w:r>
        <w:rPr>
          <w:szCs w:val="20"/>
          <w:lang w:val="en-GB" w:eastAsia="en-US"/>
        </w:rPr>
        <w:t xml:space="preserve">esource </w:t>
      </w:r>
      <w:r>
        <w:rPr>
          <w:rFonts w:hint="eastAsia"/>
          <w:szCs w:val="20"/>
        </w:rPr>
        <w:t>s</w:t>
      </w:r>
      <w:r>
        <w:rPr>
          <w:szCs w:val="20"/>
          <w:lang w:val="en-GB" w:eastAsia="en-US"/>
        </w:rPr>
        <w:t xml:space="preserve">et for interference measurement no later than the CSI reference resource and within the same DRX </w:t>
      </w:r>
      <w:r>
        <w:rPr>
          <w:rFonts w:hint="eastAsia"/>
          <w:szCs w:val="20"/>
        </w:rPr>
        <w:t>a</w:t>
      </w:r>
      <w:r>
        <w:rPr>
          <w:szCs w:val="20"/>
          <w:lang w:val="en-GB" w:eastAsia="en-US"/>
        </w:rPr>
        <w:t xml:space="preserve">ctive </w:t>
      </w:r>
      <w:r>
        <w:rPr>
          <w:rFonts w:hint="eastAsia"/>
          <w:szCs w:val="20"/>
        </w:rPr>
        <w:t>t</w:t>
      </w:r>
      <w:r>
        <w:rPr>
          <w:szCs w:val="20"/>
          <w:lang w:val="en-GB" w:eastAsia="en-US"/>
        </w:rPr>
        <w:t>ime, when DRX is configured, and drops the report otherwise</w:t>
      </w:r>
      <w:r>
        <w:rPr>
          <w:rFonts w:hint="eastAsia"/>
          <w:szCs w:val="20"/>
        </w:rPr>
        <w:t>.</w:t>
      </w:r>
    </w:p>
    <w:p>
      <w:pPr>
        <w:pStyle w:val="112"/>
        <w:ind w:firstLine="0" w:firstLineChars="0"/>
        <w:rPr>
          <w:rFonts w:eastAsiaTheme="minorEastAsia"/>
          <w:i/>
          <w:iCs/>
          <w:szCs w:val="20"/>
        </w:rPr>
      </w:pPr>
      <w:r>
        <w:rPr>
          <w:rFonts w:hint="eastAsia" w:eastAsia="Batang"/>
          <w:b/>
          <w:bCs/>
          <w:i/>
          <w:iCs/>
          <w:szCs w:val="24"/>
        </w:rPr>
        <w:t>Proposal 6:</w:t>
      </w:r>
      <w:r>
        <w:rPr>
          <w:rFonts w:hint="eastAsia" w:eastAsia="Batang"/>
          <w:i/>
          <w:iCs/>
          <w:szCs w:val="24"/>
        </w:rPr>
        <w:t xml:space="preserve"> F</w:t>
      </w:r>
      <w:r>
        <w:rPr>
          <w:rFonts w:eastAsia="Batang"/>
          <w:i/>
          <w:iCs/>
          <w:szCs w:val="20"/>
          <w:lang w:val="en-GB" w:eastAsia="en-US"/>
        </w:rPr>
        <w:t>or the Rel-19 CRI-based CSI refinement for up to 128 CSI-RS ports</w:t>
      </w:r>
      <w:r>
        <w:rPr>
          <w:rFonts w:hint="eastAsia"/>
          <w:i/>
          <w:iCs/>
          <w:szCs w:val="20"/>
        </w:rPr>
        <w:t>,</w:t>
      </w:r>
      <w:r>
        <w:rPr>
          <w:i/>
          <w:iCs/>
          <w:szCs w:val="20"/>
        </w:rPr>
        <w:t xml:space="preserve"> the following C</w:t>
      </w:r>
      <w:r>
        <w:rPr>
          <w:rFonts w:hint="eastAsia"/>
          <w:i/>
          <w:iCs/>
          <w:szCs w:val="20"/>
        </w:rPr>
        <w:t xml:space="preserve">SI dropping rule </w:t>
      </w:r>
      <w:r>
        <w:rPr>
          <w:i/>
          <w:iCs/>
          <w:szCs w:val="20"/>
        </w:rPr>
        <w:t>is supported</w:t>
      </w:r>
      <w:r>
        <w:rPr>
          <w:rFonts w:hint="eastAsia" w:eastAsiaTheme="minorEastAsia"/>
          <w:i/>
          <w:iCs/>
          <w:szCs w:val="24"/>
        </w:rPr>
        <w:t>.</w:t>
      </w:r>
    </w:p>
    <w:p>
      <w:pPr>
        <w:pStyle w:val="112"/>
        <w:numPr>
          <w:ilvl w:val="0"/>
          <w:numId w:val="13"/>
        </w:numPr>
        <w:snapToGrid w:val="0"/>
        <w:spacing w:before="0" w:after="0"/>
        <w:ind w:left="839" w:firstLineChars="0"/>
      </w:pPr>
      <w:r>
        <w:rPr>
          <w:rFonts w:hint="eastAsia"/>
          <w:i/>
          <w:iCs/>
        </w:rPr>
        <w:t>A</w:t>
      </w:r>
      <w:r>
        <w:rPr>
          <w:i/>
          <w:iCs/>
          <w:lang w:val="en-GB" w:eastAsia="en-US"/>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
          <w:iCs/>
        </w:rPr>
        <w:t>r</w:t>
      </w:r>
      <w:r>
        <w:rPr>
          <w:i/>
          <w:iCs/>
          <w:lang w:val="en-GB" w:eastAsia="en-US"/>
        </w:rPr>
        <w:t xml:space="preserve">esource </w:t>
      </w:r>
      <w:r>
        <w:rPr>
          <w:rFonts w:hint="eastAsia"/>
          <w:i/>
          <w:iCs/>
        </w:rPr>
        <w:t>s</w:t>
      </w:r>
      <w:r>
        <w:rPr>
          <w:i/>
          <w:iCs/>
          <w:lang w:val="en-GB" w:eastAsia="en-US"/>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
          <w:iCs/>
        </w:rPr>
        <w:t>a</w:t>
      </w:r>
      <w:r>
        <w:rPr>
          <w:i/>
          <w:iCs/>
          <w:lang w:val="en-GB" w:eastAsia="en-US"/>
        </w:rPr>
        <w:t xml:space="preserve">ctive </w:t>
      </w:r>
      <w:r>
        <w:rPr>
          <w:rFonts w:hint="eastAsia"/>
          <w:i/>
          <w:iCs/>
        </w:rPr>
        <w:t>t</w:t>
      </w:r>
      <w:r>
        <w:rPr>
          <w:i/>
          <w:iCs/>
          <w:lang w:val="en-GB" w:eastAsia="en-US"/>
        </w:rPr>
        <w:t>ime, when DRX is configured, and drops the report otherwise</w:t>
      </w:r>
      <w:r>
        <w:rPr>
          <w:rFonts w:hint="eastAsia"/>
          <w:i/>
          <w:iCs/>
        </w:rPr>
        <w:t>.</w:t>
      </w:r>
    </w:p>
    <w:p>
      <w:pPr>
        <w:keepNext/>
        <w:widowControl w:val="0"/>
        <w:numPr>
          <w:ilvl w:val="0"/>
          <w:numId w:val="8"/>
        </w:numPr>
        <w:tabs>
          <w:tab w:val="left" w:pos="3686"/>
          <w:tab w:val="left" w:pos="4536"/>
        </w:tabs>
        <w:autoSpaceDE w:val="0"/>
        <w:autoSpaceDN w:val="0"/>
        <w:adjustRightInd w:val="0"/>
        <w:spacing w:beforeLines="50" w:afterLines="50" w:line="240" w:lineRule="auto"/>
        <w:textAlignment w:val="baseline"/>
        <w:outlineLvl w:val="0"/>
        <w:rPr>
          <w:rFonts w:eastAsia="Arial Unicode MS"/>
          <w:b/>
          <w:bCs/>
          <w:sz w:val="28"/>
          <w:szCs w:val="28"/>
        </w:rPr>
      </w:pPr>
      <w:r>
        <w:rPr>
          <w:rFonts w:eastAsia="Arial Unicode MS"/>
          <w:b/>
          <w:bCs/>
          <w:sz w:val="28"/>
          <w:szCs w:val="28"/>
        </w:rPr>
        <w:t>CSI enhancement for CJT</w:t>
      </w:r>
      <w:r>
        <w:rPr>
          <w:rFonts w:hint="eastAsia" w:eastAsia="Arial Unicode MS"/>
          <w:b/>
          <w:bCs/>
          <w:sz w:val="28"/>
          <w:szCs w:val="28"/>
        </w:rPr>
        <w:t xml:space="preserve"> </w:t>
      </w:r>
      <w:r>
        <w:rPr>
          <w:rFonts w:eastAsia="Arial Unicode MS"/>
          <w:b/>
          <w:bCs/>
          <w:sz w:val="28"/>
          <w:szCs w:val="28"/>
        </w:rPr>
        <w:t>calibration</w:t>
      </w:r>
      <w:r>
        <w:rPr>
          <w:rFonts w:hint="eastAsia" w:eastAsia="Arial Unicode MS"/>
          <w:b/>
          <w:bCs/>
          <w:sz w:val="28"/>
          <w:szCs w:val="28"/>
        </w:rPr>
        <w:t xml:space="preserve"> </w:t>
      </w:r>
    </w:p>
    <w:p>
      <w:pPr>
        <w:snapToGrid w:val="0"/>
        <w:spacing w:line="300" w:lineRule="auto"/>
        <w:rPr>
          <w:rFonts w:eastAsia="微软雅黑"/>
          <w:szCs w:val="20"/>
          <w:lang w:val="en-GB"/>
        </w:rPr>
      </w:pPr>
      <w:r>
        <w:rPr>
          <w:rFonts w:hint="eastAsia" w:eastAsia="微软雅黑"/>
          <w:szCs w:val="20"/>
          <w:lang w:val="en-GB"/>
        </w:rPr>
        <w:t xml:space="preserve">Among </w:t>
      </w:r>
      <w:r>
        <w:rPr>
          <w:rFonts w:eastAsia="微软雅黑"/>
          <w:szCs w:val="20"/>
          <w:lang w:val="en-GB"/>
        </w:rPr>
        <w:t>items</w:t>
      </w:r>
      <w:r>
        <w:rPr>
          <w:rFonts w:hint="eastAsia" w:eastAsia="微软雅黑"/>
          <w:szCs w:val="20"/>
        </w:rPr>
        <w:t xml:space="preserve"> in </w:t>
      </w:r>
      <w:r>
        <w:rPr>
          <w:rFonts w:eastAsia="微软雅黑"/>
          <w:szCs w:val="20"/>
        </w:rPr>
        <w:t xml:space="preserve">this </w:t>
      </w:r>
      <w:r>
        <w:rPr>
          <w:rFonts w:hint="eastAsia" w:eastAsia="微软雅黑"/>
          <w:szCs w:val="20"/>
        </w:rPr>
        <w:t>WID</w:t>
      </w:r>
      <w:r>
        <w:rPr>
          <w:rFonts w:eastAsia="微软雅黑"/>
          <w:szCs w:val="20"/>
        </w:rPr>
        <w:t xml:space="preserve"> for DL and UL MIMO, </w:t>
      </w:r>
      <w:r>
        <w:rPr>
          <w:rFonts w:eastAsia="微软雅黑"/>
          <w:szCs w:val="20"/>
          <w:lang w:val="en-GB"/>
        </w:rPr>
        <w:t>the aspects for CSI enhancement for CJT</w:t>
      </w:r>
      <w:r>
        <w:rPr>
          <w:rFonts w:hint="eastAsia" w:eastAsia="微软雅黑"/>
          <w:szCs w:val="20"/>
        </w:rPr>
        <w:t xml:space="preserve"> </w:t>
      </w:r>
      <w:r>
        <w:rPr>
          <w:rFonts w:eastAsia="Times New Roman"/>
          <w:szCs w:val="24"/>
          <w:lang w:eastAsia="en-US"/>
        </w:rPr>
        <w:t>deployments under non-ideal synchronization and backhaul targeting FR1</w:t>
      </w:r>
      <w:r>
        <w:rPr>
          <w:rFonts w:eastAsia="微软雅黑"/>
          <w:szCs w:val="20"/>
          <w:lang w:val="en-GB"/>
        </w:rPr>
        <w:t xml:space="preserve"> a</w:t>
      </w:r>
      <w:r>
        <w:rPr>
          <w:rFonts w:hint="eastAsia" w:eastAsia="微软雅黑"/>
          <w:szCs w:val="20"/>
          <w:lang w:val="en-GB"/>
        </w:rPr>
        <w:t xml:space="preserve">re listed </w:t>
      </w:r>
      <w:r>
        <w:rPr>
          <w:rFonts w:hint="eastAsia" w:eastAsia="微软雅黑"/>
          <w:szCs w:val="20"/>
        </w:rPr>
        <w:t xml:space="preserve">as </w:t>
      </w:r>
      <w:r>
        <w:rPr>
          <w:rFonts w:hint="eastAsia" w:eastAsia="微软雅黑"/>
          <w:szCs w:val="20"/>
          <w:lang w:val="en-GB"/>
        </w:rPr>
        <w:t>below.</w:t>
      </w: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numPr>
                <w:ilvl w:val="0"/>
                <w:numId w:val="9"/>
              </w:numPr>
              <w:tabs>
                <w:tab w:val="left" w:pos="300"/>
                <w:tab w:val="clear" w:pos="720"/>
              </w:tabs>
              <w:snapToGrid w:val="0"/>
              <w:spacing w:after="0"/>
              <w:rPr>
                <w:rFonts w:eastAsia="Times New Roman"/>
                <w:szCs w:val="24"/>
                <w:lang w:eastAsia="en-US"/>
              </w:rPr>
            </w:pPr>
            <w:r>
              <w:rPr>
                <w:rFonts w:eastAsia="Times New Roman"/>
                <w:szCs w:val="24"/>
                <w:lang w:eastAsia="en-US"/>
              </w:rPr>
              <w:t xml:space="preserve">Specify UE reporting enhancement for CJT deployments under non-ideal synchronization and backhaul, targeting FR1, both FDD and TDD </w:t>
            </w:r>
          </w:p>
          <w:p>
            <w:pPr>
              <w:numPr>
                <w:ilvl w:val="0"/>
                <w:numId w:val="19"/>
              </w:numPr>
              <w:snapToGrid w:val="0"/>
              <w:spacing w:after="0"/>
              <w:rPr>
                <w:bCs/>
              </w:rPr>
            </w:pPr>
            <w:r>
              <w:rPr>
                <w:rFonts w:eastAsia="Times New Roman"/>
                <w:szCs w:val="24"/>
                <w:lang w:eastAsia="en-US"/>
              </w:rPr>
              <w:t>Inter-TRP delay misalignment and frequency/phase offset measurement and reporting, assuming legacy CSI-RS design, with stand-alone aperiodic reporting on PUSCH</w:t>
            </w:r>
          </w:p>
        </w:tc>
      </w:tr>
    </w:tbl>
    <w:p>
      <w:pPr>
        <w:numPr>
          <w:ilvl w:val="1"/>
          <w:numId w:val="8"/>
        </w:numPr>
        <w:snapToGrid w:val="0"/>
        <w:spacing w:afterLines="50" w:line="25" w:lineRule="atLeast"/>
        <w:outlineLvl w:val="1"/>
        <w:rPr>
          <w:b/>
          <w:sz w:val="24"/>
          <w:szCs w:val="20"/>
        </w:rPr>
      </w:pPr>
      <w:r>
        <w:rPr>
          <w:rFonts w:hint="eastAsia"/>
          <w:b/>
          <w:sz w:val="24"/>
          <w:szCs w:val="20"/>
        </w:rPr>
        <w:t>PO</w:t>
      </w:r>
      <w:r>
        <w:rPr>
          <w:b/>
          <w:sz w:val="24"/>
          <w:szCs w:val="20"/>
        </w:rPr>
        <w:t xml:space="preserve"> measurement and reporting</w:t>
      </w:r>
      <w:r>
        <w:t xml:space="preserve"> </w:t>
      </w:r>
    </w:p>
    <w:p>
      <w:pPr>
        <w:pStyle w:val="112"/>
        <w:numPr>
          <w:ilvl w:val="2"/>
          <w:numId w:val="8"/>
        </w:numPr>
        <w:snapToGrid w:val="0"/>
        <w:spacing w:before="72" w:beforeLines="30" w:after="72" w:afterLines="30" w:line="300" w:lineRule="auto"/>
        <w:ind w:firstLineChars="0"/>
        <w:textAlignment w:val="center"/>
        <w:outlineLvl w:val="2"/>
        <w:rPr>
          <w:b/>
          <w:bCs/>
          <w:sz w:val="21"/>
          <w:szCs w:val="21"/>
        </w:rPr>
      </w:pPr>
      <w:r>
        <w:rPr>
          <w:b/>
          <w:bCs/>
          <w:sz w:val="21"/>
          <w:szCs w:val="21"/>
        </w:rPr>
        <w:t>Timeline restrictions for PO measurement</w:t>
      </w:r>
    </w:p>
    <w:p>
      <w:r>
        <w:rPr>
          <w:rFonts w:hint="eastAsia"/>
        </w:rPr>
        <w:t>R</w:t>
      </w:r>
      <w:r>
        <w:t xml:space="preserve">egarding </w:t>
      </w:r>
      <w:r>
        <w:rPr>
          <w:rFonts w:eastAsia="Malgun Gothic"/>
          <w:szCs w:val="20"/>
        </w:rPr>
        <w:t>t</w:t>
      </w:r>
      <w:r>
        <w:rPr>
          <w:rFonts w:hint="eastAsia" w:eastAsia="Malgun Gothic"/>
          <w:szCs w:val="20"/>
        </w:rPr>
        <w:t>he t</w:t>
      </w:r>
      <w:r>
        <w:rPr>
          <w:rFonts w:eastAsia="Malgun Gothic"/>
          <w:szCs w:val="20"/>
        </w:rPr>
        <w:t>imeline restrictions for PO measurement</w:t>
      </w:r>
      <w:r>
        <w:t>, the following agreement was reached in RAN1#118.</w:t>
      </w:r>
      <w:r>
        <w:rPr>
          <w:rFonts w:hint="eastAsia"/>
        </w:rPr>
        <w:t xml:space="preserve"> </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rPr>
                <w:b/>
                <w:szCs w:val="20"/>
                <w:u w:val="single"/>
                <w:lang w:val="en-GB"/>
              </w:rPr>
            </w:pPr>
            <w:r>
              <w:rPr>
                <w:b/>
                <w:szCs w:val="20"/>
                <w:u w:val="single"/>
                <w:lang w:val="en-GB"/>
              </w:rPr>
              <w:t>Agreement(RAN1#118)</w:t>
            </w:r>
          </w:p>
          <w:p>
            <w:pPr>
              <w:snapToGrid w:val="0"/>
              <w:rPr>
                <w:rFonts w:eastAsia="Malgun Gothic"/>
                <w:szCs w:val="20"/>
                <w:lang w:val="en-GB" w:eastAsia="en-US"/>
              </w:rPr>
            </w:pPr>
            <w:r>
              <w:rPr>
                <w:rFonts w:eastAsia="Malgun Gothic"/>
                <w:szCs w:val="20"/>
                <w:lang w:val="en-GB" w:eastAsia="en-US"/>
              </w:rPr>
              <w:t xml:space="preserve">For the Rel-19 aperiodic standalone CJT calibration reporting, when ReportQuantity is ‘cjtc-P’ (DL/UL phase offset), </w:t>
            </w:r>
          </w:p>
          <w:p>
            <w:pPr>
              <w:numPr>
                <w:ilvl w:val="0"/>
                <w:numId w:val="20"/>
              </w:numPr>
              <w:snapToGrid w:val="0"/>
              <w:contextualSpacing/>
              <w:jc w:val="left"/>
              <w:rPr>
                <w:szCs w:val="20"/>
                <w:lang w:val="en-GB"/>
              </w:rPr>
            </w:pPr>
            <w:r>
              <w:rPr>
                <w:szCs w:val="20"/>
                <w:lang w:val="en-GB"/>
              </w:rPr>
              <w:t>The supported value(s) of x follows the supported configuration(s) of SRS resource for antenna switching xTyR used for reciprocity-based DL CSI acquisition</w:t>
            </w:r>
          </w:p>
          <w:p>
            <w:pPr>
              <w:numPr>
                <w:ilvl w:val="1"/>
                <w:numId w:val="20"/>
              </w:numPr>
              <w:snapToGrid w:val="0"/>
              <w:ind w:left="1088" w:hanging="363"/>
              <w:contextualSpacing/>
              <w:jc w:val="left"/>
              <w:rPr>
                <w:szCs w:val="20"/>
                <w:lang w:val="en-GB"/>
              </w:rPr>
            </w:pPr>
            <w:r>
              <w:rPr>
                <w:szCs w:val="20"/>
                <w:lang w:val="en-GB"/>
              </w:rPr>
              <w:t>Note: This doesn’t have any spec impact (no new RRC parameter is needed)</w:t>
            </w:r>
          </w:p>
          <w:p>
            <w:pPr>
              <w:numPr>
                <w:ilvl w:val="0"/>
                <w:numId w:val="20"/>
              </w:numPr>
              <w:snapToGrid w:val="0"/>
              <w:contextualSpacing/>
              <w:jc w:val="left"/>
              <w:rPr>
                <w:szCs w:val="20"/>
                <w:lang w:val="en-GB"/>
              </w:rPr>
            </w:pPr>
            <w:r>
              <w:rPr>
                <w:szCs w:val="20"/>
                <w:lang w:val="en-GB"/>
              </w:rPr>
              <w:t>For the selection of P</w:t>
            </w:r>
            <w:r>
              <w:rPr>
                <w:szCs w:val="20"/>
                <w:vertAlign w:val="subscript"/>
                <w:lang w:val="en-GB"/>
              </w:rPr>
              <w:t>SRS</w:t>
            </w:r>
            <w:r>
              <w:rPr>
                <w:szCs w:val="20"/>
                <w:lang w:val="en-GB"/>
              </w:rPr>
              <w:t>=1 SRS port corresponding to the ‘reference UE antenna port’ (out of the available port(s)), decide, by RAN1#118, from the following schemes:</w:t>
            </w:r>
          </w:p>
          <w:p>
            <w:pPr>
              <w:numPr>
                <w:ilvl w:val="1"/>
                <w:numId w:val="20"/>
              </w:numPr>
              <w:snapToGrid w:val="0"/>
              <w:ind w:left="1088" w:hanging="363"/>
              <w:contextualSpacing/>
              <w:jc w:val="left"/>
              <w:rPr>
                <w:szCs w:val="20"/>
                <w:lang w:val="en-GB"/>
              </w:rPr>
            </w:pPr>
            <w:r>
              <w:rPr>
                <w:szCs w:val="20"/>
                <w:lang w:val="en-GB"/>
              </w:rPr>
              <w:t>Scheme1: NW-configured via higher-layer (RRC) signalling</w:t>
            </w:r>
          </w:p>
          <w:p>
            <w:pPr>
              <w:numPr>
                <w:ilvl w:val="1"/>
                <w:numId w:val="20"/>
              </w:numPr>
              <w:snapToGrid w:val="0"/>
              <w:ind w:left="1088" w:hanging="363"/>
              <w:contextualSpacing/>
              <w:jc w:val="left"/>
              <w:rPr>
                <w:szCs w:val="20"/>
                <w:lang w:val="en-GB"/>
              </w:rPr>
            </w:pPr>
            <w:r>
              <w:rPr>
                <w:szCs w:val="20"/>
                <w:lang w:val="en-GB"/>
              </w:rPr>
              <w:t>Scheme1B: NW dynamic selection via MAC CE or A-CSI triggering (DCI)</w:t>
            </w:r>
          </w:p>
          <w:p>
            <w:pPr>
              <w:numPr>
                <w:ilvl w:val="1"/>
                <w:numId w:val="20"/>
              </w:numPr>
              <w:snapToGrid w:val="0"/>
              <w:ind w:left="1088" w:hanging="363"/>
              <w:contextualSpacing/>
              <w:jc w:val="left"/>
              <w:rPr>
                <w:szCs w:val="20"/>
                <w:lang w:val="en-GB"/>
              </w:rPr>
            </w:pPr>
            <w:r>
              <w:rPr>
                <w:szCs w:val="20"/>
                <w:lang w:val="en-GB"/>
              </w:rPr>
              <w:t xml:space="preserve">Scheme2: UE-selected, </w:t>
            </w:r>
            <w:r>
              <w:rPr>
                <w:szCs w:val="20"/>
                <w:lang w:val="en-GB" w:eastAsia="zh-TW"/>
              </w:rPr>
              <w:t>the selection included in the phase offset report</w:t>
            </w:r>
          </w:p>
          <w:p>
            <w:pPr>
              <w:numPr>
                <w:ilvl w:val="1"/>
                <w:numId w:val="20"/>
              </w:numPr>
              <w:snapToGrid w:val="0"/>
              <w:ind w:left="1088" w:hanging="363"/>
              <w:contextualSpacing/>
              <w:jc w:val="left"/>
              <w:rPr>
                <w:szCs w:val="20"/>
                <w:lang w:val="en-GB"/>
              </w:rPr>
            </w:pPr>
            <w:r>
              <w:rPr>
                <w:szCs w:val="20"/>
                <w:lang w:val="en-GB"/>
              </w:rPr>
              <w:t>Scheme3: Fixed rule, e.g. the first out of the available port(s)</w:t>
            </w:r>
          </w:p>
          <w:p>
            <w:pPr>
              <w:snapToGrid w:val="0"/>
              <w:spacing w:after="0" w:line="240" w:lineRule="auto"/>
              <w:jc w:val="left"/>
              <w:rPr>
                <w:rFonts w:ascii="Times" w:hAnsi="Times" w:eastAsia="Batang"/>
                <w:szCs w:val="16"/>
                <w:lang w:val="en-GB" w:eastAsia="en-US"/>
              </w:rPr>
            </w:pPr>
            <w:r>
              <w:rPr>
                <w:rFonts w:ascii="Times" w:hAnsi="Times" w:eastAsia="Batang"/>
                <w:szCs w:val="16"/>
                <w:lang w:val="en-GB" w:eastAsia="en-US"/>
              </w:rPr>
              <w:t>FFS:</w:t>
            </w:r>
          </w:p>
          <w:p>
            <w:pPr>
              <w:numPr>
                <w:ilvl w:val="0"/>
                <w:numId w:val="20"/>
              </w:numPr>
              <w:snapToGrid w:val="0"/>
              <w:contextualSpacing/>
              <w:jc w:val="left"/>
              <w:rPr>
                <w:szCs w:val="20"/>
                <w:lang w:val="en-GB"/>
              </w:rPr>
            </w:pPr>
            <w:r>
              <w:rPr>
                <w:szCs w:val="20"/>
                <w:lang w:val="en-GB"/>
              </w:rPr>
              <w:t>Whether/how to identify the transmission occasion of the Q=1 associated SRS resource to determine the reference UE antenna port in relation to the CSI request and/or SRS triggering</w:t>
            </w:r>
          </w:p>
          <w:p>
            <w:pPr>
              <w:numPr>
                <w:ilvl w:val="0"/>
                <w:numId w:val="20"/>
              </w:numPr>
              <w:snapToGrid w:val="0"/>
              <w:contextualSpacing/>
              <w:jc w:val="left"/>
              <w:rPr>
                <w:szCs w:val="20"/>
                <w:lang w:val="en-GB"/>
              </w:rPr>
            </w:pPr>
            <w:r>
              <w:rPr>
                <w:szCs w:val="20"/>
                <w:lang w:val="en-GB"/>
              </w:rPr>
              <w:t>The supported time-domain behaviour(s) for the associated SRS resource (periodic, semi-persistent, aperiodic)</w:t>
            </w:r>
          </w:p>
          <w:p>
            <w:pPr>
              <w:numPr>
                <w:ilvl w:val="1"/>
                <w:numId w:val="21"/>
              </w:numPr>
              <w:snapToGrid w:val="0"/>
              <w:ind w:left="1088" w:hanging="363"/>
              <w:contextualSpacing/>
              <w:rPr>
                <w:rFonts w:eastAsia="Batang"/>
                <w:iCs/>
                <w:szCs w:val="20"/>
                <w:lang w:val="en-GB" w:eastAsia="en-US"/>
              </w:rPr>
            </w:pPr>
            <w:r>
              <w:rPr>
                <w:szCs w:val="20"/>
                <w:lang w:val="en-GB"/>
              </w:rPr>
              <w:t>In case the NW configures the Q=1 associated SRS resource from an existing SP and/or AP SRS antenna switching resource configuration for DL CSI acquisition (which utilizes dynamic signalling), whether/how to identify the Q=1 associated SRS resource</w:t>
            </w:r>
          </w:p>
        </w:tc>
      </w:tr>
    </w:tbl>
    <w:p>
      <w:pPr>
        <w:pStyle w:val="112"/>
        <w:ind w:firstLine="0" w:firstLineChars="0"/>
        <w:rPr>
          <w:szCs w:val="20"/>
        </w:rPr>
      </w:pPr>
      <w:r>
        <w:rPr>
          <w:rFonts w:hint="eastAsia" w:eastAsiaTheme="minorEastAsia"/>
          <w:szCs w:val="24"/>
        </w:rPr>
        <w:t xml:space="preserve">According to the discussion, </w:t>
      </w:r>
      <w:r>
        <w:rPr>
          <w:szCs w:val="20"/>
          <w:lang w:val="en-GB"/>
        </w:rPr>
        <w:t>the transmission occasion of the Q=1 associated SRS resource</w:t>
      </w:r>
      <w:r>
        <w:rPr>
          <w:rFonts w:hint="eastAsia"/>
          <w:szCs w:val="20"/>
        </w:rPr>
        <w:t xml:space="preserve"> need to be identified. Regarding the precoded/non-precoded CSI-RS, there are two different restrictions of</w:t>
      </w:r>
      <w:r>
        <w:rPr>
          <w:rFonts w:hint="eastAsia" w:eastAsiaTheme="minorEastAsia"/>
          <w:szCs w:val="24"/>
        </w:rPr>
        <w:t xml:space="preserve"> </w:t>
      </w:r>
      <w:r>
        <w:rPr>
          <w:szCs w:val="20"/>
          <w:lang w:val="en-GB"/>
        </w:rPr>
        <w:t>the transmission occasion of the Q=1 associated SRS resource</w:t>
      </w:r>
      <w:r>
        <w:rPr>
          <w:rFonts w:hint="eastAsia"/>
          <w:szCs w:val="20"/>
        </w:rPr>
        <w:t>.</w:t>
      </w:r>
    </w:p>
    <w:p>
      <w:pPr>
        <w:pStyle w:val="112"/>
        <w:numPr>
          <w:ilvl w:val="0"/>
          <w:numId w:val="22"/>
        </w:numPr>
        <w:ind w:firstLineChars="0"/>
        <w:rPr>
          <w:rFonts w:eastAsiaTheme="minorEastAsia"/>
          <w:szCs w:val="24"/>
          <w:lang w:val="en-GB"/>
        </w:rPr>
      </w:pPr>
      <w:r>
        <w:rPr>
          <w:rFonts w:eastAsiaTheme="minorEastAsia"/>
          <w:szCs w:val="24"/>
          <w:lang w:val="en-GB"/>
        </w:rPr>
        <w:t>For precoded CSI-RS, the SRS should be transmitted before CSI-RS (then, of course the SRS should be transmitted before PO report).</w:t>
      </w:r>
    </w:p>
    <w:p>
      <w:pPr>
        <w:pStyle w:val="112"/>
        <w:numPr>
          <w:ilvl w:val="0"/>
          <w:numId w:val="22"/>
        </w:numPr>
        <w:ind w:firstLineChars="0"/>
        <w:rPr>
          <w:rFonts w:eastAsiaTheme="minorEastAsia"/>
          <w:szCs w:val="24"/>
          <w:lang w:val="en-GB"/>
        </w:rPr>
      </w:pPr>
      <w:r>
        <w:rPr>
          <w:rFonts w:eastAsiaTheme="minorEastAsia"/>
          <w:szCs w:val="24"/>
          <w:lang w:val="en-GB"/>
        </w:rPr>
        <w:t>For non-precoded CSI-RS, the SRS can be transmitted either before or after CSI-RS or PO report.</w:t>
      </w:r>
    </w:p>
    <w:p>
      <w:pPr>
        <w:pStyle w:val="112"/>
        <w:ind w:firstLine="0" w:firstLineChars="0"/>
        <w:rPr>
          <w:rFonts w:eastAsiaTheme="minorEastAsia"/>
          <w:szCs w:val="24"/>
        </w:rPr>
      </w:pPr>
      <w:r>
        <w:rPr>
          <w:rFonts w:hint="eastAsia" w:eastAsiaTheme="minorEastAsia"/>
          <w:szCs w:val="24"/>
        </w:rPr>
        <w:t>Given these conditions, to maintain the integrity of PO reporting for both precoded and non-precoded CSI-RS, it is recommended that the SRS be transmitted beforehand, ensuring compatibility with the stricter requirement of  precoded CSI-RS.</w:t>
      </w:r>
    </w:p>
    <w:p>
      <w:pPr>
        <w:rPr>
          <w:rFonts w:eastAsia="微软雅黑"/>
          <w:i/>
          <w:szCs w:val="20"/>
        </w:rPr>
      </w:pPr>
      <w:r>
        <w:rPr>
          <w:rFonts w:hint="eastAsia"/>
          <w:b/>
          <w:i/>
        </w:rPr>
        <w:t>P</w:t>
      </w:r>
      <w:r>
        <w:rPr>
          <w:b/>
          <w:i/>
        </w:rPr>
        <w:t xml:space="preserve">roposal </w:t>
      </w:r>
      <w:r>
        <w:rPr>
          <w:rFonts w:hint="eastAsia"/>
          <w:b/>
          <w:i/>
        </w:rPr>
        <w:t>7</w:t>
      </w:r>
      <w:r>
        <w:rPr>
          <w:b/>
          <w:i/>
        </w:rPr>
        <w:t>:</w:t>
      </w:r>
      <w:r>
        <w:rPr>
          <w:i/>
        </w:rPr>
        <w:t xml:space="preserve"> </w:t>
      </w:r>
      <w:r>
        <w:rPr>
          <w:rFonts w:eastAsia="微软雅黑"/>
          <w:i/>
          <w:szCs w:val="20"/>
        </w:rPr>
        <w:t>Regarding</w:t>
      </w:r>
      <w:r>
        <w:rPr>
          <w:rFonts w:hint="eastAsia" w:eastAsia="微软雅黑"/>
          <w:i/>
          <w:szCs w:val="20"/>
        </w:rPr>
        <w:t xml:space="preserve"> the</w:t>
      </w:r>
      <w:r>
        <w:rPr>
          <w:rFonts w:eastAsia="微软雅黑"/>
          <w:i/>
          <w:szCs w:val="20"/>
        </w:rPr>
        <w:t xml:space="preserve"> </w:t>
      </w:r>
      <w:r>
        <w:rPr>
          <w:rFonts w:hint="eastAsia" w:eastAsia="微软雅黑"/>
          <w:i/>
          <w:szCs w:val="20"/>
        </w:rPr>
        <w:t>t</w:t>
      </w:r>
      <w:r>
        <w:rPr>
          <w:rFonts w:eastAsia="微软雅黑"/>
          <w:i/>
          <w:szCs w:val="20"/>
        </w:rPr>
        <w:t>imeline restrictions for PO measurement</w:t>
      </w:r>
      <w:r>
        <w:rPr>
          <w:rFonts w:hint="eastAsia" w:eastAsia="微软雅黑"/>
          <w:i/>
          <w:szCs w:val="20"/>
        </w:rPr>
        <w:t>,</w:t>
      </w:r>
    </w:p>
    <w:p>
      <w:pPr>
        <w:pStyle w:val="112"/>
        <w:numPr>
          <w:ilvl w:val="0"/>
          <w:numId w:val="13"/>
        </w:numPr>
        <w:snapToGrid w:val="0"/>
        <w:spacing w:before="0" w:after="0"/>
        <w:ind w:left="839" w:firstLineChars="0"/>
        <w:rPr>
          <w:i/>
          <w:iCs/>
          <w:lang w:val="en-GB"/>
        </w:rPr>
      </w:pPr>
      <w:r>
        <w:rPr>
          <w:rFonts w:hint="eastAsia"/>
          <w:i/>
          <w:iCs/>
          <w:lang w:val="en-GB"/>
        </w:rPr>
        <w:t>For P/SP SRS, the PO report is associated with the latest SRS transmission occasion before the DCI triggering the report;</w:t>
      </w:r>
    </w:p>
    <w:p>
      <w:pPr>
        <w:pStyle w:val="112"/>
        <w:numPr>
          <w:ilvl w:val="0"/>
          <w:numId w:val="13"/>
        </w:numPr>
        <w:snapToGrid w:val="0"/>
        <w:spacing w:before="0" w:after="0"/>
        <w:ind w:left="839" w:firstLineChars="0"/>
        <w:rPr>
          <w:i/>
          <w:iCs/>
          <w:lang w:val="en-GB"/>
        </w:rPr>
      </w:pPr>
      <w:r>
        <w:rPr>
          <w:rFonts w:hint="eastAsia"/>
          <w:i/>
          <w:iCs/>
          <w:lang w:val="en-GB"/>
        </w:rPr>
        <w:t>For AP SRS, the PO report is associated the SRS transmission occasion triggered no later than the DCI triggering the report.</w:t>
      </w:r>
    </w:p>
    <w:p>
      <w:pPr>
        <w:pStyle w:val="112"/>
        <w:numPr>
          <w:ilvl w:val="1"/>
          <w:numId w:val="13"/>
        </w:numPr>
        <w:ind w:firstLineChars="0"/>
        <w:rPr>
          <w:i/>
          <w:iCs/>
          <w:szCs w:val="20"/>
          <w:lang w:val="en-GB"/>
        </w:rPr>
      </w:pPr>
      <w:r>
        <w:rPr>
          <w:rFonts w:hint="eastAsia"/>
          <w:i/>
          <w:iCs/>
          <w:szCs w:val="20"/>
          <w:lang w:val="en-GB"/>
        </w:rPr>
        <w:t>When the PO report and the SRS are triggered by a same DCI, the PO report is associated with the simultaneously triggered SRS transmission occasion;</w:t>
      </w:r>
    </w:p>
    <w:p>
      <w:pPr>
        <w:pStyle w:val="112"/>
        <w:numPr>
          <w:ilvl w:val="1"/>
          <w:numId w:val="13"/>
        </w:numPr>
        <w:ind w:firstLineChars="0"/>
        <w:rPr>
          <w:i/>
          <w:iCs/>
          <w:szCs w:val="20"/>
          <w:lang w:val="en-GB"/>
        </w:rPr>
      </w:pPr>
      <w:r>
        <w:rPr>
          <w:rFonts w:hint="eastAsia"/>
          <w:i/>
          <w:iCs/>
          <w:szCs w:val="20"/>
          <w:lang w:val="en-GB"/>
        </w:rPr>
        <w:t>When the PO report and the SRS are triggered by two separate DCI, the PO report is associated with the latest SRS transmission occasion triggered before the DCI triggering the report.</w:t>
      </w:r>
    </w:p>
    <w:p>
      <w:pPr>
        <w:pStyle w:val="112"/>
        <w:numPr>
          <w:ilvl w:val="2"/>
          <w:numId w:val="8"/>
        </w:numPr>
        <w:snapToGrid w:val="0"/>
        <w:spacing w:before="72" w:beforeLines="30" w:after="72" w:afterLines="30" w:line="300" w:lineRule="auto"/>
        <w:ind w:firstLineChars="0"/>
        <w:textAlignment w:val="center"/>
        <w:outlineLvl w:val="2"/>
        <w:rPr>
          <w:b/>
          <w:bCs/>
          <w:sz w:val="21"/>
          <w:szCs w:val="21"/>
        </w:rPr>
      </w:pPr>
      <w:r>
        <w:rPr>
          <w:b/>
          <w:bCs/>
          <w:sz w:val="21"/>
          <w:szCs w:val="21"/>
        </w:rPr>
        <w:t>Configuration/indication of subbands for PO reporting</w:t>
      </w:r>
    </w:p>
    <w:p>
      <w:pPr>
        <w:rPr>
          <w:rFonts w:eastAsiaTheme="minorEastAsia"/>
          <w:szCs w:val="24"/>
          <w:lang w:val="en-GB"/>
        </w:rPr>
      </w:pPr>
      <w:r>
        <w:rPr>
          <w:rFonts w:hint="eastAsia"/>
        </w:rPr>
        <w:t>R</w:t>
      </w:r>
      <w:r>
        <w:t xml:space="preserve">egarding </w:t>
      </w:r>
      <w:r>
        <w:rPr>
          <w:rFonts w:eastAsia="Malgun Gothic"/>
          <w:szCs w:val="20"/>
        </w:rPr>
        <w:t>the Rel-19 aperiodic standalone CJT calibration reporting</w:t>
      </w:r>
      <w:r>
        <w:rPr>
          <w:rFonts w:hint="eastAsia" w:eastAsia="Malgun Gothic"/>
          <w:szCs w:val="20"/>
        </w:rPr>
        <w:t xml:space="preserve"> of subband phase offset</w:t>
      </w:r>
      <w:r>
        <w:t>, the following agreement was reached in RAN1#118.</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rPr>
                <w:b/>
                <w:szCs w:val="20"/>
                <w:u w:val="single"/>
                <w:lang w:val="en-GB"/>
              </w:rPr>
            </w:pPr>
            <w:r>
              <w:rPr>
                <w:b/>
                <w:szCs w:val="20"/>
                <w:u w:val="single"/>
                <w:lang w:val="en-GB"/>
              </w:rPr>
              <w:t>Agreement(RAN1#118)</w:t>
            </w:r>
          </w:p>
          <w:p>
            <w:pPr>
              <w:snapToGrid w:val="0"/>
              <w:rPr>
                <w:rFonts w:eastAsia="Malgun Gothic"/>
                <w:szCs w:val="20"/>
              </w:rPr>
            </w:pPr>
            <w:r>
              <w:rPr>
                <w:rFonts w:eastAsia="Malgun Gothic"/>
                <w:szCs w:val="20"/>
              </w:rPr>
              <w:t>For the Rel-19 aperiodic standalone CJT calibration reporting, when ReportQuantity is ‘cjtc-P’ (DL/UL phase offset), regarding the support of sub-band reporting (</w:t>
            </w:r>
            <w:r>
              <w:rPr>
                <w:rFonts w:ascii="Symbol" w:hAnsi="Symbol" w:eastAsia="Malgun Gothic"/>
                <w:szCs w:val="20"/>
              </w:rPr>
              <w:t></w:t>
            </w:r>
            <w:r>
              <w:rPr>
                <w:rFonts w:eastAsia="Malgun Gothic"/>
                <w:szCs w:val="20"/>
              </w:rPr>
              <w:t>&gt;1):</w:t>
            </w:r>
          </w:p>
          <w:p>
            <w:pPr>
              <w:numPr>
                <w:ilvl w:val="0"/>
                <w:numId w:val="20"/>
              </w:numPr>
              <w:snapToGrid w:val="0"/>
              <w:contextualSpacing/>
              <w:jc w:val="left"/>
              <w:rPr>
                <w:szCs w:val="20"/>
              </w:rPr>
            </w:pPr>
            <w:r>
              <w:rPr>
                <w:szCs w:val="20"/>
              </w:rPr>
              <w:t>Denoting the number of reported sub-band phase-offset values as N</w:t>
            </w:r>
            <w:r>
              <w:rPr>
                <w:szCs w:val="20"/>
                <w:vertAlign w:val="subscript"/>
              </w:rPr>
              <w:t>SB-P</w:t>
            </w:r>
            <w:r>
              <w:rPr>
                <w:szCs w:val="20"/>
              </w:rPr>
              <w:t>, and the sub-bands are indexed as {0, 1, …,</w:t>
            </w:r>
            <w:r>
              <w:rPr>
                <w:rFonts w:eastAsia="Calibri"/>
                <w:szCs w:val="20"/>
              </w:rPr>
              <w:t>N</w:t>
            </w:r>
            <w:r>
              <w:rPr>
                <w:rFonts w:eastAsia="Calibri"/>
                <w:szCs w:val="20"/>
                <w:vertAlign w:val="subscript"/>
              </w:rPr>
              <w:t>SB-P</w:t>
            </w:r>
            <w:r>
              <w:rPr>
                <w:szCs w:val="20"/>
              </w:rPr>
              <w:t xml:space="preserve"> –1}, support, as a separate UE capability from wideband (</w:t>
            </w:r>
            <w:r>
              <w:rPr>
                <w:rFonts w:ascii="Symbol" w:hAnsi="Symbol" w:eastAsia="Calibri"/>
                <w:szCs w:val="20"/>
              </w:rPr>
              <w:t></w:t>
            </w:r>
            <w:r>
              <w:rPr>
                <w:szCs w:val="20"/>
              </w:rPr>
              <w:t>=1) phase offset reporting, reporting, in one CSI reporting instance, {(</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rPr>
              <w:t></w:t>
            </w:r>
            <w:r>
              <w:rPr>
                <w:szCs w:val="20"/>
                <w:vertAlign w:val="subscript"/>
              </w:rPr>
              <w:t>,</w:t>
            </w:r>
            <w:r>
              <w:rPr>
                <w:szCs w:val="20"/>
              </w:rPr>
              <w:t xml:space="preserve"> </w:t>
            </w:r>
            <w:r>
              <w:rPr>
                <w:rFonts w:ascii="Symbol" w:hAnsi="Symbol"/>
                <w:szCs w:val="20"/>
              </w:rPr>
              <w:t></w:t>
            </w:r>
            <w:r>
              <w:rPr>
                <w:szCs w:val="20"/>
                <w:vertAlign w:val="subscript"/>
              </w:rPr>
              <w:t>n,NSB-P</w:t>
            </w:r>
            <w:r>
              <w:rPr>
                <w:rFonts w:ascii="Symbol" w:hAnsi="Symbol"/>
                <w:szCs w:val="20"/>
                <w:vertAlign w:val="subscript"/>
              </w:rPr>
              <w:t></w:t>
            </w:r>
            <w:r>
              <w:rPr>
                <w:szCs w:val="20"/>
              </w:rPr>
              <w:t>), n=0, 1, …, N</w:t>
            </w:r>
            <w:r>
              <w:rPr>
                <w:szCs w:val="20"/>
                <w:vertAlign w:val="subscript"/>
              </w:rPr>
              <w:t>TRP</w:t>
            </w:r>
            <w:r>
              <w:rPr>
                <w:szCs w:val="20"/>
              </w:rPr>
              <w:t xml:space="preserve"> – 1, n≠nref}</w:t>
            </w:r>
          </w:p>
          <w:p>
            <w:pPr>
              <w:numPr>
                <w:ilvl w:val="1"/>
                <w:numId w:val="20"/>
              </w:numPr>
              <w:snapToGrid w:val="0"/>
              <w:ind w:left="1088" w:hanging="363"/>
              <w:contextualSpacing/>
              <w:jc w:val="left"/>
              <w:rPr>
                <w:szCs w:val="20"/>
              </w:rPr>
            </w:pPr>
            <w:r>
              <w:rPr>
                <w:szCs w:val="20"/>
              </w:rPr>
              <w:t xml:space="preserve">The alphabet for </w:t>
            </w:r>
            <w:r>
              <w:rPr>
                <w:rFonts w:ascii="Symbol" w:hAnsi="Symbol"/>
                <w:szCs w:val="20"/>
              </w:rPr>
              <w:t></w:t>
            </w:r>
            <w:r>
              <w:rPr>
                <w:szCs w:val="20"/>
                <w:vertAlign w:val="subscript"/>
              </w:rPr>
              <w:t>n,</w:t>
            </w:r>
            <w:r>
              <w:rPr>
                <w:rFonts w:ascii="Symbol" w:hAnsi="Symbol"/>
                <w:szCs w:val="20"/>
                <w:vertAlign w:val="subscript"/>
              </w:rPr>
              <w:t></w:t>
            </w:r>
            <w:r>
              <w:rPr>
                <w:szCs w:val="20"/>
              </w:rPr>
              <w:t xml:space="preserve"> follows the previously agreed alphabet for </w:t>
            </w:r>
            <w:r>
              <w:rPr>
                <w:rFonts w:ascii="Symbol" w:hAnsi="Symbol"/>
                <w:szCs w:val="20"/>
              </w:rPr>
              <w:t></w:t>
            </w:r>
            <w:r>
              <w:rPr>
                <w:szCs w:val="20"/>
              </w:rPr>
              <w:t>=1, including the ‘invalid’ state</w:t>
            </w:r>
          </w:p>
          <w:p>
            <w:pPr>
              <w:numPr>
                <w:ilvl w:val="0"/>
                <w:numId w:val="20"/>
              </w:numPr>
              <w:snapToGrid w:val="0"/>
              <w:contextualSpacing/>
              <w:jc w:val="left"/>
              <w:rPr>
                <w:szCs w:val="20"/>
              </w:rPr>
            </w:pPr>
            <w:r>
              <w:rPr>
                <w:szCs w:val="20"/>
              </w:rPr>
              <w:t xml:space="preserve">FFS: </w:t>
            </w:r>
          </w:p>
          <w:p>
            <w:pPr>
              <w:numPr>
                <w:ilvl w:val="1"/>
                <w:numId w:val="20"/>
              </w:numPr>
              <w:snapToGrid w:val="0"/>
              <w:ind w:left="1088" w:hanging="363"/>
              <w:contextualSpacing/>
              <w:jc w:val="left"/>
              <w:rPr>
                <w:szCs w:val="20"/>
              </w:rPr>
            </w:pPr>
            <w:r>
              <w:rPr>
                <w:szCs w:val="20"/>
              </w:rPr>
              <w:t>Supported sub-band size(s), e.g. following the legacy CSI sub-band definition, vs {1, 2, 4, 8, 16 PRBs}</w:t>
            </w:r>
          </w:p>
          <w:p>
            <w:pPr>
              <w:numPr>
                <w:ilvl w:val="1"/>
                <w:numId w:val="20"/>
              </w:numPr>
              <w:snapToGrid w:val="0"/>
              <w:ind w:left="1088" w:hanging="363"/>
              <w:contextualSpacing/>
              <w:jc w:val="left"/>
              <w:rPr>
                <w:szCs w:val="20"/>
              </w:rPr>
            </w:pPr>
            <w:r>
              <w:rPr>
                <w:szCs w:val="20"/>
              </w:rPr>
              <w:t>Whether the UE performs measurement over the entire configured CSI reporting band WCSI</w:t>
            </w:r>
          </w:p>
          <w:p>
            <w:pPr>
              <w:numPr>
                <w:ilvl w:val="1"/>
                <w:numId w:val="20"/>
              </w:numPr>
              <w:snapToGrid w:val="0"/>
              <w:ind w:left="1088" w:hanging="363"/>
              <w:contextualSpacing/>
              <w:jc w:val="left"/>
              <w:rPr>
                <w:szCs w:val="20"/>
              </w:rPr>
            </w:pPr>
            <w:r>
              <w:rPr>
                <w:szCs w:val="20"/>
              </w:rPr>
              <w:t>If needed, mechanism to limit CSI reporting overhead (e.g. maximum N</w:t>
            </w:r>
            <w:r>
              <w:rPr>
                <w:szCs w:val="20"/>
                <w:vertAlign w:val="subscript"/>
              </w:rPr>
              <w:t>SB-P</w:t>
            </w:r>
            <w:r>
              <w:rPr>
                <w:szCs w:val="20"/>
              </w:rPr>
              <w:t xml:space="preserve">)  </w:t>
            </w:r>
          </w:p>
          <w:p>
            <w:pPr>
              <w:numPr>
                <w:ilvl w:val="1"/>
                <w:numId w:val="20"/>
              </w:numPr>
              <w:snapToGrid w:val="0"/>
              <w:ind w:left="1088" w:hanging="363"/>
              <w:contextualSpacing/>
              <w:jc w:val="left"/>
              <w:rPr>
                <w:szCs w:val="20"/>
              </w:rPr>
            </w:pPr>
            <w:r>
              <w:rPr>
                <w:szCs w:val="20"/>
              </w:rPr>
              <w:t>If needed, configuration of whether the CSI-RSs are MRT-beamformed in frequency-domain or not</w:t>
            </w:r>
          </w:p>
          <w:p>
            <w:pPr>
              <w:snapToGrid w:val="0"/>
              <w:rPr>
                <w:rFonts w:eastAsia="Malgun Gothic"/>
                <w:szCs w:val="20"/>
              </w:rPr>
            </w:pPr>
            <w:r>
              <w:rPr>
                <w:rFonts w:eastAsia="Malgun Gothic"/>
                <w:szCs w:val="20"/>
              </w:rPr>
              <w:t>Note: UE is not required to perform DO/FO compensation for sub-band phase offset calculation</w:t>
            </w:r>
          </w:p>
          <w:p>
            <w:pPr>
              <w:snapToGrid w:val="0"/>
              <w:rPr>
                <w:rFonts w:eastAsia="Batang"/>
                <w:iCs/>
                <w:szCs w:val="20"/>
                <w:lang w:val="en-GB" w:eastAsia="en-US"/>
              </w:rPr>
            </w:pPr>
            <w:r>
              <w:rPr>
                <w:rFonts w:eastAsia="Malgun Gothic"/>
                <w:szCs w:val="20"/>
              </w:rPr>
              <w:t>Note: There is a source R1-2407184 showing for frequency-domain-MRT-precoded CSI-RSs, inter-TRP phase has a linear rotation in frequency-domain, and is associated with a single delay component.</w:t>
            </w:r>
          </w:p>
        </w:tc>
      </w:tr>
    </w:tbl>
    <w:p>
      <w:pPr>
        <w:pStyle w:val="112"/>
        <w:ind w:firstLine="0" w:firstLineChars="0"/>
        <w:rPr>
          <w:szCs w:val="20"/>
        </w:rPr>
      </w:pPr>
      <w:r>
        <w:rPr>
          <w:rFonts w:hint="eastAsia" w:eastAsiaTheme="minorEastAsia"/>
          <w:szCs w:val="24"/>
        </w:rPr>
        <w:t xml:space="preserve">For the FFS of the limiting CSI overhead of </w:t>
      </w:r>
      <w:r>
        <w:rPr>
          <w:rFonts w:eastAsia="Malgun Gothic"/>
          <w:szCs w:val="20"/>
        </w:rPr>
        <w:t>sub-band</w:t>
      </w:r>
      <w:r>
        <w:rPr>
          <w:rFonts w:hint="eastAsia" w:eastAsiaTheme="minorEastAsia"/>
          <w:szCs w:val="24"/>
        </w:rPr>
        <w:t xml:space="preserve"> PO reporting, the simplest and most straightforward way is limiting the maximum number of reported </w:t>
      </w:r>
      <w:r>
        <w:rPr>
          <w:szCs w:val="20"/>
        </w:rPr>
        <w:t>sub-band</w:t>
      </w:r>
      <w:r>
        <w:rPr>
          <w:rFonts w:hint="eastAsia"/>
          <w:szCs w:val="20"/>
        </w:rPr>
        <w:t xml:space="preserve"> PO values as </w:t>
      </w:r>
      <w:r>
        <w:rPr>
          <w:szCs w:val="20"/>
        </w:rPr>
        <w:t>N</w:t>
      </w:r>
      <w:r>
        <w:rPr>
          <w:szCs w:val="20"/>
          <w:vertAlign w:val="subscript"/>
        </w:rPr>
        <w:t>SB-P</w:t>
      </w:r>
      <w:r>
        <w:rPr>
          <w:rFonts w:hint="eastAsia"/>
          <w:szCs w:val="20"/>
        </w:rPr>
        <w:t xml:space="preserve">. </w:t>
      </w:r>
    </w:p>
    <w:p>
      <w:pPr>
        <w:pStyle w:val="112"/>
        <w:ind w:firstLine="0" w:firstLineChars="0"/>
        <w:rPr>
          <w:rFonts w:eastAsiaTheme="minorEastAsia"/>
          <w:szCs w:val="24"/>
        </w:rPr>
      </w:pPr>
      <w:r>
        <w:rPr>
          <w:rFonts w:hint="eastAsia"/>
          <w:szCs w:val="20"/>
        </w:rPr>
        <w:t xml:space="preserve">Furthermore, in order to cover the configured bandwidth flexibly, an efficient method is needed for subband configuration/indication. As shown in Figure 3, a bitmap with limited length </w:t>
      </w:r>
      <w:r>
        <w:rPr>
          <w:rFonts w:hint="eastAsia" w:eastAsiaTheme="minorEastAsia"/>
          <w:szCs w:val="24"/>
          <w:lang w:val="en-GB"/>
        </w:rPr>
        <w:t>L</w:t>
      </w:r>
      <w:r>
        <w:rPr>
          <w:rFonts w:hint="eastAsia" w:eastAsiaTheme="minorEastAsia"/>
          <w:szCs w:val="24"/>
          <w:vertAlign w:val="subscript"/>
          <w:lang w:val="en-GB"/>
        </w:rPr>
        <w:t>max</w:t>
      </w:r>
      <w:r>
        <w:rPr>
          <w:rFonts w:hint="eastAsia" w:eastAsiaTheme="minorEastAsia"/>
          <w:szCs w:val="24"/>
          <w:lang w:val="en-GB"/>
        </w:rPr>
        <w:t xml:space="preserve"> (e.g., L</w:t>
      </w:r>
      <w:r>
        <w:rPr>
          <w:rFonts w:hint="eastAsia" w:eastAsiaTheme="minorEastAsia"/>
          <w:szCs w:val="24"/>
          <w:vertAlign w:val="subscript"/>
          <w:lang w:val="en-GB"/>
        </w:rPr>
        <w:t>max</w:t>
      </w:r>
      <w:r>
        <w:rPr>
          <w:rFonts w:hint="eastAsia" w:eastAsiaTheme="minorEastAsia"/>
          <w:szCs w:val="24"/>
          <w:lang w:val="en-GB"/>
        </w:rPr>
        <w:t xml:space="preserve"> = 32)</w:t>
      </w:r>
      <w:r>
        <w:rPr>
          <w:rFonts w:hint="eastAsia" w:eastAsiaTheme="minorEastAsia"/>
          <w:szCs w:val="24"/>
        </w:rPr>
        <w:t xml:space="preserve"> can be</w:t>
      </w:r>
      <w:r>
        <w:rPr>
          <w:rFonts w:hint="eastAsia"/>
          <w:szCs w:val="20"/>
        </w:rPr>
        <w:t xml:space="preserve"> introduced to configure/indicate which </w:t>
      </w:r>
      <w:r>
        <w:rPr>
          <w:szCs w:val="20"/>
        </w:rPr>
        <w:t>N</w:t>
      </w:r>
      <w:r>
        <w:rPr>
          <w:szCs w:val="20"/>
          <w:vertAlign w:val="subscript"/>
        </w:rPr>
        <w:t>SB-P</w:t>
      </w:r>
      <w:r>
        <w:rPr>
          <w:rFonts w:hint="eastAsia"/>
          <w:szCs w:val="20"/>
        </w:rPr>
        <w:t xml:space="preserve"> </w:t>
      </w:r>
      <w:r>
        <w:rPr>
          <w:rFonts w:hint="eastAsia" w:eastAsiaTheme="minorEastAsia"/>
          <w:szCs w:val="24"/>
          <w:lang w:val="en-GB"/>
        </w:rPr>
        <w:t>subbands</w:t>
      </w:r>
      <w:r>
        <w:rPr>
          <w:rFonts w:hint="eastAsia" w:eastAsiaTheme="minorEastAsia"/>
          <w:szCs w:val="24"/>
        </w:rPr>
        <w:t xml:space="preserve"> need to report the PO. </w:t>
      </w:r>
      <w:r>
        <w:rPr>
          <w:rFonts w:hint="eastAsia" w:eastAsiaTheme="minorEastAsia"/>
          <w:szCs w:val="24"/>
          <w:lang w:val="en-GB"/>
        </w:rPr>
        <w:t>When the total number of subbands is smaller or equal to Lmax, the bitmap length is equal to the total number of subbands</w:t>
      </w:r>
      <w:r>
        <w:rPr>
          <w:rFonts w:hint="eastAsia" w:eastAsiaTheme="minorEastAsia"/>
          <w:szCs w:val="24"/>
        </w:rPr>
        <w:t xml:space="preserve">. </w:t>
      </w:r>
      <w:r>
        <w:rPr>
          <w:rFonts w:hint="eastAsia" w:eastAsiaTheme="minorEastAsia"/>
          <w:szCs w:val="24"/>
          <w:lang w:val="en-GB"/>
        </w:rPr>
        <w:t>When the total number of subbands is greater than Lmax, the bitmap length is equal to Lmax, and the bitmap is associated with the first Lmax subbands</w:t>
      </w:r>
      <w:r>
        <w:rPr>
          <w:rFonts w:hint="eastAsia" w:eastAsiaTheme="minorEastAsia"/>
          <w:szCs w:val="24"/>
        </w:rPr>
        <w:t>.</w:t>
      </w:r>
    </w:p>
    <w:p>
      <w:pPr>
        <w:pStyle w:val="112"/>
        <w:ind w:firstLine="0" w:firstLineChars="0"/>
        <w:jc w:val="center"/>
      </w:pPr>
      <w:r>
        <w:drawing>
          <wp:inline distT="0" distB="0" distL="114300" distR="114300">
            <wp:extent cx="4122420" cy="3444240"/>
            <wp:effectExtent l="0" t="0" r="7620" b="0"/>
            <wp:docPr id="7"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2"/>
                    <pic:cNvPicPr>
                      <a:picLocks noChangeAspect="1"/>
                    </pic:cNvPicPr>
                  </pic:nvPicPr>
                  <pic:blipFill>
                    <a:blip r:embed="rId48"/>
                    <a:stretch>
                      <a:fillRect/>
                    </a:stretch>
                  </pic:blipFill>
                  <pic:spPr>
                    <a:xfrm>
                      <a:off x="0" y="0"/>
                      <a:ext cx="4122420" cy="3444240"/>
                    </a:xfrm>
                    <a:prstGeom prst="rect">
                      <a:avLst/>
                    </a:prstGeom>
                    <a:noFill/>
                    <a:ln>
                      <a:noFill/>
                    </a:ln>
                  </pic:spPr>
                </pic:pic>
              </a:graphicData>
            </a:graphic>
          </wp:inline>
        </w:drawing>
      </w:r>
    </w:p>
    <w:p>
      <w:pPr>
        <w:pStyle w:val="112"/>
        <w:snapToGrid w:val="0"/>
        <w:spacing w:before="72" w:beforeLines="30" w:after="72" w:afterLines="30" w:line="300" w:lineRule="auto"/>
        <w:ind w:firstLine="0" w:firstLineChars="0"/>
        <w:jc w:val="center"/>
        <w:textAlignment w:val="center"/>
        <w:rPr>
          <w:szCs w:val="24"/>
        </w:rPr>
      </w:pPr>
      <w:r>
        <w:rPr>
          <w:b/>
          <w:szCs w:val="20"/>
        </w:rPr>
        <w:t xml:space="preserve">Figure </w:t>
      </w:r>
      <w:r>
        <w:rPr>
          <w:rFonts w:hint="eastAsia"/>
          <w:b/>
          <w:szCs w:val="20"/>
        </w:rPr>
        <w:t>3</w:t>
      </w:r>
      <w:r>
        <w:rPr>
          <w:rFonts w:hint="eastAsia"/>
          <w:szCs w:val="20"/>
        </w:rPr>
        <w:t xml:space="preserve"> A flexible subband configuration/indication method for PO reporting</w:t>
      </w:r>
    </w:p>
    <w:p>
      <w:pPr>
        <w:rPr>
          <w:rFonts w:eastAsia="微软雅黑"/>
          <w:i/>
          <w:szCs w:val="20"/>
        </w:rPr>
      </w:pPr>
      <w:r>
        <w:rPr>
          <w:rFonts w:hint="eastAsia"/>
          <w:b/>
          <w:i/>
        </w:rPr>
        <w:t>P</w:t>
      </w:r>
      <w:r>
        <w:rPr>
          <w:b/>
          <w:i/>
        </w:rPr>
        <w:t xml:space="preserve">roposal </w:t>
      </w:r>
      <w:r>
        <w:rPr>
          <w:rFonts w:hint="eastAsia"/>
          <w:b/>
          <w:i/>
        </w:rPr>
        <w:t>8</w:t>
      </w:r>
      <w:r>
        <w:rPr>
          <w:b/>
          <w:i/>
        </w:rPr>
        <w:t>:</w:t>
      </w:r>
      <w:r>
        <w:rPr>
          <w:i/>
        </w:rPr>
        <w:t xml:space="preserve"> </w:t>
      </w:r>
      <w:r>
        <w:rPr>
          <w:rFonts w:eastAsia="微软雅黑"/>
          <w:i/>
          <w:szCs w:val="20"/>
        </w:rPr>
        <w:t xml:space="preserve">Regarding </w:t>
      </w:r>
      <w:r>
        <w:rPr>
          <w:rFonts w:hint="eastAsia" w:eastAsia="微软雅黑"/>
          <w:i/>
          <w:szCs w:val="20"/>
        </w:rPr>
        <w:t xml:space="preserve">the limiting CSI overhead of </w:t>
      </w:r>
      <w:r>
        <w:rPr>
          <w:rFonts w:eastAsia="微软雅黑"/>
          <w:i/>
          <w:szCs w:val="20"/>
        </w:rPr>
        <w:t>sub-band</w:t>
      </w:r>
      <w:r>
        <w:rPr>
          <w:rFonts w:hint="eastAsia" w:eastAsia="微软雅黑"/>
          <w:i/>
          <w:szCs w:val="20"/>
        </w:rPr>
        <w:t xml:space="preserve"> PO reporting,</w:t>
      </w:r>
    </w:p>
    <w:p>
      <w:pPr>
        <w:pStyle w:val="112"/>
        <w:numPr>
          <w:ilvl w:val="0"/>
          <w:numId w:val="13"/>
        </w:numPr>
        <w:snapToGrid w:val="0"/>
        <w:spacing w:before="0" w:after="0"/>
        <w:ind w:left="839" w:firstLineChars="0"/>
        <w:rPr>
          <w:i/>
          <w:iCs/>
          <w:lang w:val="en-GB"/>
        </w:rPr>
      </w:pPr>
      <w:r>
        <w:rPr>
          <w:rFonts w:hint="eastAsia"/>
          <w:i/>
          <w:iCs/>
          <w:lang w:val="en-GB"/>
        </w:rPr>
        <w:t>Support limiting the maximum number of subbands as N</w:t>
      </w:r>
      <w:r>
        <w:rPr>
          <w:rFonts w:hint="eastAsia"/>
          <w:i/>
          <w:iCs/>
          <w:vertAlign w:val="subscript"/>
          <w:lang w:val="en-GB"/>
        </w:rPr>
        <w:t>SB-P, max</w:t>
      </w:r>
      <w:r>
        <w:rPr>
          <w:rFonts w:hint="eastAsia"/>
          <w:i/>
          <w:iCs/>
          <w:lang w:val="en-GB"/>
        </w:rPr>
        <w:t>, e.g., N</w:t>
      </w:r>
      <w:r>
        <w:rPr>
          <w:rFonts w:hint="eastAsia"/>
          <w:i/>
          <w:iCs/>
          <w:vertAlign w:val="subscript"/>
          <w:lang w:val="en-GB"/>
        </w:rPr>
        <w:t>SB-P, max</w:t>
      </w:r>
      <w:r>
        <w:rPr>
          <w:rFonts w:hint="eastAsia"/>
          <w:i/>
          <w:iCs/>
          <w:lang w:val="en-GB"/>
        </w:rPr>
        <w:t xml:space="preserve"> = 8.</w:t>
      </w:r>
    </w:p>
    <w:p>
      <w:pPr>
        <w:pStyle w:val="112"/>
        <w:numPr>
          <w:ilvl w:val="0"/>
          <w:numId w:val="13"/>
        </w:numPr>
        <w:snapToGrid w:val="0"/>
        <w:spacing w:before="0" w:after="0"/>
        <w:ind w:left="839" w:firstLineChars="0"/>
        <w:rPr>
          <w:i/>
          <w:iCs/>
          <w:lang w:val="en-GB"/>
        </w:rPr>
      </w:pPr>
      <w:r>
        <w:rPr>
          <w:rFonts w:hint="eastAsia"/>
          <w:i/>
          <w:iCs/>
          <w:lang w:val="en-GB"/>
        </w:rPr>
        <w:t xml:space="preserve">The subbands are </w:t>
      </w:r>
      <w:r>
        <w:rPr>
          <w:rFonts w:hint="eastAsia"/>
          <w:i/>
          <w:iCs/>
        </w:rPr>
        <w:t>configured/</w:t>
      </w:r>
      <w:r>
        <w:rPr>
          <w:rFonts w:hint="eastAsia"/>
          <w:i/>
          <w:iCs/>
          <w:lang w:val="en-GB"/>
        </w:rPr>
        <w:t>indicated by a bitmap with limited length Lmax (e.g., Lmax = 32).</w:t>
      </w:r>
    </w:p>
    <w:p>
      <w:pPr>
        <w:pStyle w:val="112"/>
        <w:numPr>
          <w:ilvl w:val="1"/>
          <w:numId w:val="13"/>
        </w:numPr>
        <w:ind w:firstLineChars="0"/>
        <w:rPr>
          <w:i/>
          <w:iCs/>
          <w:szCs w:val="20"/>
          <w:lang w:val="en-GB"/>
        </w:rPr>
      </w:pPr>
      <w:r>
        <w:rPr>
          <w:rFonts w:hint="eastAsia"/>
          <w:i/>
          <w:iCs/>
          <w:szCs w:val="20"/>
          <w:lang w:val="en-GB"/>
        </w:rPr>
        <w:t>When the total number of subbands is smaller or equal to Lmax, the bitmap length is equal to the total number of subbands;</w:t>
      </w:r>
    </w:p>
    <w:p>
      <w:pPr>
        <w:pStyle w:val="112"/>
        <w:numPr>
          <w:ilvl w:val="1"/>
          <w:numId w:val="13"/>
        </w:numPr>
        <w:ind w:firstLineChars="0"/>
        <w:rPr>
          <w:i/>
          <w:iCs/>
          <w:szCs w:val="20"/>
        </w:rPr>
      </w:pPr>
      <w:r>
        <w:rPr>
          <w:rFonts w:hint="eastAsia"/>
          <w:i/>
          <w:iCs/>
          <w:szCs w:val="20"/>
          <w:lang w:val="en-GB"/>
        </w:rPr>
        <w:t>When the total number of subbands is greater than Lmax, the bitmap length is equal to Lmax, and the bitmap is associated with the first Lmax subbands</w:t>
      </w:r>
      <w:r>
        <w:rPr>
          <w:rFonts w:hint="eastAsia"/>
          <w:i/>
          <w:iCs/>
          <w:szCs w:val="20"/>
        </w:rPr>
        <w:t>.</w:t>
      </w:r>
    </w:p>
    <w:p>
      <w:pPr>
        <w:numPr>
          <w:ilvl w:val="1"/>
          <w:numId w:val="8"/>
        </w:numPr>
        <w:snapToGrid w:val="0"/>
        <w:spacing w:afterLines="50" w:line="25" w:lineRule="atLeast"/>
        <w:outlineLvl w:val="1"/>
        <w:rPr>
          <w:b/>
          <w:sz w:val="24"/>
          <w:szCs w:val="20"/>
        </w:rPr>
      </w:pPr>
      <w:r>
        <w:rPr>
          <w:rFonts w:hint="eastAsia"/>
          <w:b/>
          <w:sz w:val="24"/>
          <w:szCs w:val="20"/>
        </w:rPr>
        <w:t>I</w:t>
      </w:r>
      <w:r>
        <w:rPr>
          <w:b/>
          <w:sz w:val="24"/>
          <w:szCs w:val="20"/>
        </w:rPr>
        <w:t>nforming UE of the DO/FO to be used for PDSCH pre-compensation</w:t>
      </w:r>
    </w:p>
    <w:p>
      <w:pPr>
        <w:pStyle w:val="112"/>
        <w:ind w:firstLine="0" w:firstLineChars="0"/>
      </w:pPr>
      <w:r>
        <w:rPr>
          <w:rFonts w:hint="eastAsia"/>
        </w:rPr>
        <w:t>Re</w:t>
      </w:r>
      <w:r>
        <w:t xml:space="preserve">garding </w:t>
      </w:r>
      <w:r>
        <w:rPr>
          <w:rFonts w:hint="eastAsia"/>
        </w:rPr>
        <w:t xml:space="preserve">UE-specific DO/FO pre-compensation, the following agreements were reached </w:t>
      </w:r>
      <w:r>
        <w:t>in</w:t>
      </w:r>
      <w:r>
        <w:rPr>
          <w:rFonts w:hint="eastAsia"/>
        </w:rPr>
        <w:t xml:space="preserve"> RAN1#118.</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szCs w:val="20"/>
                <w:u w:val="single"/>
              </w:rPr>
            </w:pPr>
            <w:r>
              <w:rPr>
                <w:b/>
                <w:szCs w:val="20"/>
                <w:u w:val="single"/>
              </w:rPr>
              <w:t>Agreement (RAN1#118)</w:t>
            </w:r>
          </w:p>
          <w:p>
            <w:pPr>
              <w:snapToGrid w:val="0"/>
              <w:spacing w:before="0" w:after="0" w:line="240" w:lineRule="auto"/>
              <w:jc w:val="left"/>
              <w:rPr>
                <w:rFonts w:eastAsia="Batang"/>
                <w:strike/>
                <w:szCs w:val="20"/>
                <w:lang w:val="en-GB" w:eastAsia="en-US"/>
              </w:rPr>
            </w:pPr>
            <w:r>
              <w:rPr>
                <w:rFonts w:eastAsia="Calibri"/>
                <w:szCs w:val="20"/>
                <w:lang w:val="en-GB" w:eastAsia="en-US"/>
              </w:rPr>
              <w:t xml:space="preserve">For the Rel-19 aperiodic standalone CJT calibration (CJTC) reporting, to facilitate UE-specific </w:t>
            </w:r>
            <w:r>
              <w:rPr>
                <w:rFonts w:eastAsia="Batang"/>
                <w:szCs w:val="20"/>
                <w:lang w:val="en-GB" w:eastAsia="en-US"/>
              </w:rPr>
              <w:t xml:space="preserve">delay offset pre-compensation on PDSCH by the NW, </w:t>
            </w:r>
            <w:r>
              <w:rPr>
                <w:rFonts w:eastAsia="Batang"/>
                <w:i/>
                <w:szCs w:val="20"/>
                <w:u w:val="single"/>
                <w:lang w:val="en-GB" w:eastAsia="en-US"/>
              </w:rPr>
              <w:t>decide</w:t>
            </w:r>
            <w:r>
              <w:rPr>
                <w:rFonts w:eastAsia="Batang"/>
                <w:szCs w:val="20"/>
                <w:lang w:val="en-GB" w:eastAsia="en-US"/>
              </w:rP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pPr>
              <w:widowControl w:val="0"/>
              <w:numPr>
                <w:ilvl w:val="0"/>
                <w:numId w:val="23"/>
              </w:numPr>
              <w:snapToGrid w:val="0"/>
              <w:spacing w:before="0" w:after="0" w:line="240" w:lineRule="auto"/>
              <w:rPr>
                <w:rFonts w:eastAsia="Batang"/>
                <w:kern w:val="2"/>
                <w:szCs w:val="20"/>
                <w:lang w:val="en-GB"/>
              </w:rPr>
            </w:pPr>
            <w:r>
              <w:rPr>
                <w:rFonts w:eastAsia="Batang"/>
                <w:kern w:val="2"/>
                <w:szCs w:val="20"/>
                <w:lang w:val="en-GB"/>
              </w:rPr>
              <w:t>NW indicates the delay offset value to be compensated for the Rel-18 eType-II CJT CSI report, and/or</w:t>
            </w:r>
          </w:p>
          <w:p>
            <w:pPr>
              <w:widowControl w:val="0"/>
              <w:numPr>
                <w:ilvl w:val="0"/>
                <w:numId w:val="23"/>
              </w:numPr>
              <w:snapToGrid w:val="0"/>
              <w:spacing w:before="0" w:after="0" w:line="240" w:lineRule="auto"/>
              <w:rPr>
                <w:rFonts w:eastAsia="Batang"/>
                <w:kern w:val="2"/>
                <w:szCs w:val="20"/>
                <w:lang w:val="en-GB"/>
              </w:rPr>
            </w:pPr>
            <w:r>
              <w:rPr>
                <w:rFonts w:eastAsia="Batang"/>
                <w:kern w:val="2"/>
                <w:szCs w:val="20"/>
                <w:lang w:val="en-GB"/>
              </w:rPr>
              <w:t>The two separately configured reports (i.e. Rel-18 eType-II CJT CSI report and the CJTC delay offset report) are always jointly triggered and carried on a same PUSCH (hence on a same slot)</w:t>
            </w:r>
          </w:p>
          <w:p>
            <w:pPr>
              <w:widowControl w:val="0"/>
              <w:numPr>
                <w:ilvl w:val="0"/>
                <w:numId w:val="23"/>
              </w:numPr>
              <w:snapToGrid w:val="0"/>
              <w:spacing w:before="0" w:after="0" w:line="240" w:lineRule="auto"/>
              <w:rPr>
                <w:rFonts w:eastAsia="Batang"/>
                <w:kern w:val="2"/>
                <w:szCs w:val="20"/>
                <w:lang w:val="en-GB"/>
              </w:rPr>
            </w:pPr>
            <w:r>
              <w:rPr>
                <w:rFonts w:eastAsia="Batang"/>
                <w:bCs/>
                <w:kern w:val="2"/>
                <w:szCs w:val="20"/>
                <w:lang w:val="en-GB"/>
              </w:rPr>
              <w:t>The delay offset value to be compensated is the latest reported DO before the DCI triggering the CJT CSI reporting</w:t>
            </w:r>
          </w:p>
          <w:p>
            <w:pPr>
              <w:snapToGrid w:val="0"/>
              <w:spacing w:before="0" w:after="0" w:line="240" w:lineRule="auto"/>
              <w:jc w:val="left"/>
              <w:rPr>
                <w:rFonts w:eastAsia="Batang"/>
                <w:szCs w:val="20"/>
                <w:lang w:val="en-GB" w:eastAsia="en-US"/>
              </w:rPr>
            </w:pPr>
            <w:r>
              <w:rPr>
                <w:rFonts w:eastAsia="Batang"/>
                <w:szCs w:val="20"/>
                <w:lang w:val="en-GB" w:eastAsia="en-US"/>
              </w:rPr>
              <w:t>FFS: AP-CSI-RS can be configured for the Rel-18 eType-II CJT report</w:t>
            </w:r>
          </w:p>
          <w:p>
            <w:pPr>
              <w:snapToGrid w:val="0"/>
              <w:spacing w:before="0" w:after="0" w:line="240" w:lineRule="auto"/>
              <w:jc w:val="left"/>
              <w:rPr>
                <w:rFonts w:eastAsia="Batang"/>
                <w:b/>
                <w:color w:val="3333FF"/>
                <w:szCs w:val="20"/>
                <w:lang w:val="en-GB" w:eastAsia="en-US"/>
              </w:rPr>
            </w:pPr>
            <w:r>
              <w:rPr>
                <w:rFonts w:eastAsia="Batang"/>
                <w:szCs w:val="20"/>
                <w:lang w:val="en-GB" w:eastAsia="en-US"/>
              </w:rPr>
              <w:t>The above only applies when the CMRs do not share common QCL source for average delay indication</w:t>
            </w:r>
            <w:r>
              <w:rPr>
                <w:rFonts w:eastAsia="Batang"/>
                <w:szCs w:val="20"/>
                <w:lang w:val="en-GB" w:eastAsia="ko-KR"/>
              </w:rPr>
              <w:t>.</w:t>
            </w:r>
            <w:r>
              <w:rPr>
                <w:rFonts w:eastAsia="Batang"/>
                <w:b/>
                <w:color w:val="3333FF"/>
                <w:szCs w:val="20"/>
                <w:lang w:val="en-GB" w:eastAsia="en-US"/>
              </w:rPr>
              <w:t xml:space="preserve"> </w:t>
            </w:r>
          </w:p>
          <w:p>
            <w:pPr>
              <w:snapToGrid w:val="0"/>
              <w:rPr>
                <w:szCs w:val="20"/>
                <w:u w:val="single"/>
              </w:rPr>
            </w:pPr>
            <w:r>
              <w:rPr>
                <w:b/>
                <w:szCs w:val="20"/>
                <w:u w:val="single"/>
              </w:rPr>
              <w:t>Agreement (RAN1#118)</w:t>
            </w:r>
          </w:p>
          <w:p>
            <w:pPr>
              <w:snapToGrid w:val="0"/>
              <w:spacing w:before="0" w:after="0" w:line="240" w:lineRule="auto"/>
              <w:jc w:val="left"/>
              <w:rPr>
                <w:rFonts w:eastAsia="Batang"/>
                <w:strike/>
                <w:szCs w:val="20"/>
                <w:lang w:val="en-GB" w:eastAsia="en-US"/>
              </w:rPr>
            </w:pPr>
            <w:r>
              <w:rPr>
                <w:rFonts w:eastAsia="Calibri"/>
                <w:szCs w:val="20"/>
                <w:lang w:val="en-GB" w:eastAsia="en-US"/>
              </w:rPr>
              <w:t xml:space="preserve">For the Rel-19 aperiodic standalone CJT calibration (CJTC) reporting, to facilitate UE-specific </w:t>
            </w:r>
            <w:r>
              <w:rPr>
                <w:rFonts w:eastAsia="Batang"/>
                <w:szCs w:val="20"/>
                <w:lang w:val="en-GB" w:eastAsia="en-US"/>
              </w:rPr>
              <w:t xml:space="preserve">frequency offset pre-compensation on PDSCH by the NW, </w:t>
            </w:r>
            <w:r>
              <w:rPr>
                <w:rFonts w:eastAsia="Batang"/>
                <w:i/>
                <w:szCs w:val="20"/>
                <w:u w:val="single"/>
                <w:lang w:val="en-GB" w:eastAsia="en-US"/>
              </w:rPr>
              <w:t>decide</w:t>
            </w:r>
            <w:r>
              <w:rPr>
                <w:rFonts w:eastAsia="Batang"/>
                <w:szCs w:val="20"/>
                <w:lang w:val="en-GB" w:eastAsia="en-US"/>
              </w:rP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pPr>
              <w:widowControl w:val="0"/>
              <w:numPr>
                <w:ilvl w:val="0"/>
                <w:numId w:val="23"/>
              </w:numPr>
              <w:snapToGrid w:val="0"/>
              <w:spacing w:before="0" w:after="0" w:line="240" w:lineRule="auto"/>
              <w:rPr>
                <w:rFonts w:eastAsia="Batang"/>
                <w:kern w:val="2"/>
                <w:szCs w:val="20"/>
                <w:lang w:val="en-GB"/>
              </w:rPr>
            </w:pPr>
            <w:r>
              <w:rPr>
                <w:rFonts w:eastAsia="Batang"/>
                <w:kern w:val="2"/>
                <w:szCs w:val="20"/>
                <w:lang w:val="en-GB"/>
              </w:rPr>
              <w:t>NW indicates the frequency offset value to be compensated for the Rel-18 eType-II CJT CSI report, and/or</w:t>
            </w:r>
          </w:p>
          <w:p>
            <w:pPr>
              <w:widowControl w:val="0"/>
              <w:numPr>
                <w:ilvl w:val="0"/>
                <w:numId w:val="23"/>
              </w:numPr>
              <w:snapToGrid w:val="0"/>
              <w:spacing w:before="0" w:after="0" w:line="240" w:lineRule="auto"/>
              <w:rPr>
                <w:rFonts w:eastAsia="Batang"/>
                <w:kern w:val="2"/>
                <w:szCs w:val="20"/>
                <w:lang w:val="en-GB"/>
              </w:rPr>
            </w:pPr>
            <w:r>
              <w:rPr>
                <w:rFonts w:eastAsia="Batang"/>
                <w:kern w:val="2"/>
                <w:szCs w:val="20"/>
                <w:lang w:val="en-GB"/>
              </w:rPr>
              <w:t>The two separately configured reports (i.e. Rel-18 eType-II CJT CSI report and the CJTC frequency offset report) are always jointly triggered and carried on a same PUSCH (hence on a same slot)</w:t>
            </w:r>
          </w:p>
          <w:p>
            <w:pPr>
              <w:widowControl w:val="0"/>
              <w:numPr>
                <w:ilvl w:val="0"/>
                <w:numId w:val="23"/>
              </w:numPr>
              <w:snapToGrid w:val="0"/>
              <w:spacing w:before="0" w:after="0" w:line="240" w:lineRule="auto"/>
              <w:rPr>
                <w:rFonts w:eastAsia="Batang"/>
                <w:kern w:val="2"/>
                <w:szCs w:val="20"/>
                <w:lang w:val="en-GB"/>
              </w:rPr>
            </w:pPr>
            <w:r>
              <w:rPr>
                <w:rFonts w:eastAsia="Batang"/>
                <w:bCs/>
                <w:kern w:val="2"/>
                <w:szCs w:val="20"/>
                <w:lang w:val="en-GB"/>
              </w:rPr>
              <w:t>The frequency offset value to be compensated is the latest reported fO before the DCI triggering the CJT CSI reporting</w:t>
            </w:r>
          </w:p>
          <w:p>
            <w:pPr>
              <w:snapToGrid w:val="0"/>
              <w:spacing w:before="0" w:after="0" w:line="240" w:lineRule="auto"/>
              <w:jc w:val="left"/>
              <w:rPr>
                <w:rFonts w:eastAsia="Batang"/>
                <w:szCs w:val="20"/>
                <w:lang w:val="en-GB" w:eastAsia="en-US"/>
              </w:rPr>
            </w:pPr>
            <w:r>
              <w:rPr>
                <w:rFonts w:eastAsia="Batang"/>
                <w:szCs w:val="20"/>
                <w:lang w:val="en-GB" w:eastAsia="en-US"/>
              </w:rPr>
              <w:t>FFS: AP-CSI-RS can be configured for the Rel-18 eType-II CJT report</w:t>
            </w:r>
          </w:p>
          <w:p>
            <w:pPr>
              <w:snapToGrid w:val="0"/>
              <w:spacing w:before="0" w:after="0" w:line="240" w:lineRule="auto"/>
              <w:jc w:val="left"/>
              <w:rPr>
                <w:szCs w:val="20"/>
              </w:rPr>
            </w:pPr>
            <w:r>
              <w:rPr>
                <w:rFonts w:eastAsia="Batang"/>
                <w:szCs w:val="20"/>
                <w:lang w:val="en-GB" w:eastAsia="en-US"/>
              </w:rPr>
              <w:t>The above only applies when the CMRs do not share common QCL source for Doppler shift indication</w:t>
            </w:r>
            <w:r>
              <w:rPr>
                <w:rFonts w:hint="eastAsia"/>
                <w:szCs w:val="20"/>
              </w:rPr>
              <w:t>.</w:t>
            </w:r>
          </w:p>
          <w:p>
            <w:pPr>
              <w:snapToGrid w:val="0"/>
              <w:rPr>
                <w:szCs w:val="20"/>
                <w:u w:val="single"/>
              </w:rPr>
            </w:pPr>
            <w:r>
              <w:rPr>
                <w:b/>
                <w:szCs w:val="20"/>
                <w:u w:val="single"/>
              </w:rPr>
              <w:t>Agreement (RAN1#118)</w:t>
            </w:r>
          </w:p>
          <w:p>
            <w:pPr>
              <w:snapToGrid w:val="0"/>
              <w:spacing w:before="0" w:after="0" w:line="240" w:lineRule="auto"/>
              <w:jc w:val="left"/>
              <w:rPr>
                <w:rFonts w:eastAsia="Batang"/>
                <w:strike/>
                <w:szCs w:val="20"/>
                <w:lang w:val="en-GB" w:eastAsia="en-US"/>
              </w:rPr>
            </w:pPr>
            <w:r>
              <w:rPr>
                <w:rFonts w:eastAsia="Calibri"/>
                <w:szCs w:val="20"/>
                <w:lang w:val="en-GB" w:eastAsia="en-US"/>
              </w:rPr>
              <w:t xml:space="preserve">For the Rel-19 aperiodic standalone CJT calibration (CJTC) reporting, to facilitate UE-specific </w:t>
            </w:r>
            <w:r>
              <w:rPr>
                <w:rFonts w:eastAsia="Batang"/>
                <w:szCs w:val="20"/>
                <w:lang w:val="en-GB" w:eastAsia="en-US"/>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pPr>
              <w:numPr>
                <w:ilvl w:val="0"/>
                <w:numId w:val="23"/>
              </w:numPr>
              <w:snapToGrid w:val="0"/>
              <w:spacing w:before="0" w:after="0" w:line="240" w:lineRule="auto"/>
              <w:jc w:val="left"/>
              <w:rPr>
                <w:szCs w:val="20"/>
                <w:lang w:val="en-GB" w:eastAsia="en-US"/>
              </w:rPr>
            </w:pPr>
            <w:r>
              <w:rPr>
                <w:szCs w:val="20"/>
                <w:lang w:val="en-GB" w:eastAsia="en-US"/>
              </w:rPr>
              <w:t>The two separately configured reports (i.e. Rel-18 eType-II CJT CSI report and the CJTC delay offset report) can be separately or jointly triggered [and carried on a same PUSCH (hence on a same slot)] following legacy joint triggering mechanism</w:t>
            </w:r>
          </w:p>
          <w:p>
            <w:pPr>
              <w:numPr>
                <w:ilvl w:val="1"/>
                <w:numId w:val="23"/>
              </w:numPr>
              <w:snapToGrid w:val="0"/>
              <w:spacing w:before="0" w:after="0" w:line="240" w:lineRule="auto"/>
              <w:jc w:val="left"/>
              <w:rPr>
                <w:szCs w:val="20"/>
                <w:lang w:val="en-GB" w:eastAsia="en-US"/>
              </w:rPr>
            </w:pPr>
            <w:r>
              <w:rPr>
                <w:bCs/>
                <w:szCs w:val="20"/>
                <w:lang w:val="en-GB" w:eastAsia="en-US"/>
              </w:rPr>
              <w:t>(</w:t>
            </w:r>
            <w:r>
              <w:rPr>
                <w:bCs/>
                <w:szCs w:val="20"/>
                <w:highlight w:val="darkYellow"/>
                <w:lang w:val="en-GB" w:eastAsia="en-US"/>
              </w:rPr>
              <w:t>Working Assumption</w:t>
            </w:r>
            <w:r>
              <w:rPr>
                <w:bCs/>
                <w:szCs w:val="20"/>
                <w:lang w:val="en-GB" w:eastAsia="en-US"/>
              </w:rPr>
              <w:t>) When separately triggered, the delay offset value to be compensated is the latest reported delay offset (DO) whose reporting instance’s last symbol is before the first symbol of DCI triggering of the CJT CSI reporting</w:t>
            </w:r>
          </w:p>
          <w:p>
            <w:pPr>
              <w:numPr>
                <w:ilvl w:val="2"/>
                <w:numId w:val="23"/>
              </w:numPr>
              <w:snapToGrid w:val="0"/>
              <w:spacing w:before="0" w:after="0" w:line="240" w:lineRule="auto"/>
              <w:jc w:val="left"/>
              <w:rPr>
                <w:szCs w:val="20"/>
                <w:lang w:val="en-GB" w:eastAsia="en-US"/>
              </w:rPr>
            </w:pPr>
            <w:r>
              <w:rPr>
                <w:szCs w:val="20"/>
                <w:lang w:val="en-GB" w:eastAsia="en-US"/>
              </w:rPr>
              <w:t>FFS: whether some expiration time interval is needed</w:t>
            </w:r>
          </w:p>
          <w:p>
            <w:pPr>
              <w:numPr>
                <w:ilvl w:val="1"/>
                <w:numId w:val="23"/>
              </w:numPr>
              <w:snapToGrid w:val="0"/>
              <w:spacing w:before="0" w:after="0" w:line="240" w:lineRule="auto"/>
              <w:jc w:val="left"/>
              <w:rPr>
                <w:szCs w:val="20"/>
                <w:lang w:val="en-GB" w:eastAsia="en-US"/>
              </w:rPr>
            </w:pPr>
            <w:r>
              <w:rPr>
                <w:bCs/>
                <w:szCs w:val="20"/>
                <w:lang w:val="en-GB" w:eastAsia="en-US"/>
              </w:rPr>
              <w:t>(</w:t>
            </w:r>
            <w:r>
              <w:rPr>
                <w:bCs/>
                <w:szCs w:val="20"/>
                <w:highlight w:val="darkYellow"/>
                <w:lang w:val="en-GB" w:eastAsia="en-US"/>
              </w:rPr>
              <w:t>Working Assumption</w:t>
            </w:r>
            <w:r>
              <w:rPr>
                <w:bCs/>
                <w:szCs w:val="20"/>
                <w:lang w:val="en-GB" w:eastAsia="en-US"/>
              </w:rPr>
              <w:t xml:space="preserve">) When jointly triggered, the delay offset value to be compensated is the reported delay offset (DO) in the same reporting instance </w:t>
            </w:r>
          </w:p>
          <w:p>
            <w:pPr>
              <w:snapToGrid w:val="0"/>
              <w:spacing w:before="0" w:after="0" w:line="240" w:lineRule="auto"/>
              <w:jc w:val="left"/>
              <w:rPr>
                <w:rFonts w:eastAsia="Batang"/>
                <w:szCs w:val="20"/>
                <w:lang w:val="en-GB" w:eastAsia="en-US"/>
              </w:rPr>
            </w:pPr>
            <w:r>
              <w:rPr>
                <w:rFonts w:eastAsia="Batang"/>
                <w:szCs w:val="20"/>
                <w:lang w:val="en-GB" w:eastAsia="en-US"/>
              </w:rPr>
              <w:t>FFS: NW indicates the delay offset value to be compensated for the Rel-18 eType-II CJT CSI report</w:t>
            </w:r>
          </w:p>
          <w:p>
            <w:pPr>
              <w:snapToGrid w:val="0"/>
              <w:spacing w:before="0" w:after="0" w:line="240" w:lineRule="auto"/>
              <w:jc w:val="left"/>
              <w:rPr>
                <w:rFonts w:eastAsia="Batang"/>
                <w:szCs w:val="20"/>
                <w:lang w:val="en-GB" w:eastAsia="en-US"/>
              </w:rPr>
            </w:pPr>
            <w:r>
              <w:rPr>
                <w:rFonts w:eastAsia="Batang"/>
                <w:szCs w:val="20"/>
                <w:lang w:val="en-GB" w:eastAsia="en-US"/>
              </w:rPr>
              <w:t xml:space="preserve">FFS: Whether only AP-CSI-RS, or any type of CSI-RS (P, SP, or AP) can be configured as the CMR for the Rel-18 eType-II CJT reporting </w:t>
            </w:r>
          </w:p>
          <w:p>
            <w:pPr>
              <w:snapToGrid w:val="0"/>
              <w:spacing w:before="0" w:after="0" w:line="240" w:lineRule="auto"/>
              <w:jc w:val="left"/>
              <w:rPr>
                <w:rFonts w:eastAsia="Batang"/>
                <w:szCs w:val="20"/>
                <w:lang w:val="en-GB" w:eastAsia="en-US"/>
              </w:rPr>
            </w:pPr>
            <w:r>
              <w:rPr>
                <w:rFonts w:eastAsia="Batang"/>
                <w:szCs w:val="20"/>
                <w:lang w:val="en-GB" w:eastAsia="en-US"/>
              </w:rPr>
              <w:t xml:space="preserve">FFS: Support for SP-CSI for CJTC report </w:t>
            </w:r>
          </w:p>
          <w:p>
            <w:pPr>
              <w:snapToGrid w:val="0"/>
              <w:spacing w:before="0" w:after="0" w:line="240" w:lineRule="auto"/>
              <w:jc w:val="left"/>
              <w:rPr>
                <w:rFonts w:eastAsia="Batang"/>
                <w:szCs w:val="20"/>
                <w:lang w:val="en-GB" w:eastAsia="en-US"/>
              </w:rPr>
            </w:pPr>
            <w:r>
              <w:rPr>
                <w:rFonts w:eastAsia="Batang"/>
                <w:szCs w:val="20"/>
                <w:lang w:val="en-GB" w:eastAsia="en-US"/>
              </w:rPr>
              <w:t>FFS: Whether this is also applicable for Rel-19 Type-I MP codebook</w:t>
            </w:r>
          </w:p>
          <w:p>
            <w:pPr>
              <w:snapToGrid w:val="0"/>
              <w:spacing w:before="0" w:after="0" w:line="240" w:lineRule="auto"/>
              <w:jc w:val="left"/>
              <w:rPr>
                <w:rFonts w:eastAsia="Batang"/>
                <w:szCs w:val="20"/>
                <w:lang w:val="en-GB" w:eastAsia="en-US"/>
              </w:rPr>
            </w:pPr>
            <w:r>
              <w:rPr>
                <w:rFonts w:eastAsia="Batang"/>
                <w:szCs w:val="20"/>
                <w:lang w:val="en-GB" w:eastAsia="en-US"/>
              </w:rPr>
              <w:t>The above only applies when the CMRs do not share common QCL source for average delay indication</w:t>
            </w:r>
          </w:p>
          <w:p>
            <w:pPr>
              <w:snapToGrid w:val="0"/>
              <w:spacing w:before="0" w:after="0" w:line="240" w:lineRule="auto"/>
              <w:jc w:val="left"/>
              <w:rPr>
                <w:szCs w:val="20"/>
              </w:rPr>
            </w:pPr>
            <w:r>
              <w:rPr>
                <w:rFonts w:eastAsia="Batang"/>
                <w:szCs w:val="20"/>
                <w:lang w:val="en-GB" w:eastAsia="en-US"/>
              </w:rPr>
              <w:t>The above is UE optional feature.</w:t>
            </w:r>
          </w:p>
        </w:tc>
      </w:tr>
    </w:tbl>
    <w:p>
      <w:pPr>
        <w:snapToGrid w:val="0"/>
        <w:spacing w:before="72" w:beforeLines="30" w:after="72" w:afterLines="30" w:line="300" w:lineRule="auto"/>
        <w:textAlignment w:val="center"/>
        <w:rPr>
          <w:bCs/>
          <w:szCs w:val="20"/>
        </w:rPr>
      </w:pPr>
      <w:r>
        <w:rPr>
          <w:bCs/>
          <w:szCs w:val="20"/>
        </w:rPr>
        <w:t>In principle, the DO/FO is UE-specific, as it includes the propagation delay and Doppler effects. Therefore, after the network (NW) acquires the DO/FO, UE-specific pre-compensation of DO/FO for CJT is necessary to ensure performance</w:t>
      </w:r>
      <w:r>
        <w:rPr>
          <w:rFonts w:hint="eastAsia"/>
          <w:bCs/>
          <w:szCs w:val="20"/>
        </w:rPr>
        <w:t xml:space="preserve">. Figure 4 illustrates the SLS performance evaluation results for non-compensated CJT and UE-specific DO/FO pre-compensated CJT. It is observed that UE-specific DO/FO pre-compensation provides a 56.41% throughput gain for cell-edge UE and a 17.81% average throughput gain. The SLS assumptions for CJT DO/FO pre-compensation can be found in Table </w:t>
      </w:r>
      <w:r>
        <w:rPr>
          <w:bCs/>
          <w:szCs w:val="20"/>
        </w:rPr>
        <w:t>4</w:t>
      </w:r>
      <w:r>
        <w:rPr>
          <w:rFonts w:hint="eastAsia"/>
          <w:bCs/>
          <w:szCs w:val="20"/>
        </w:rPr>
        <w:t xml:space="preserve"> in the appendix.</w:t>
      </w:r>
    </w:p>
    <w:p>
      <w:pPr>
        <w:snapToGrid w:val="0"/>
        <w:spacing w:before="72" w:beforeLines="30" w:after="72" w:afterLines="30" w:line="300" w:lineRule="auto"/>
        <w:jc w:val="center"/>
        <w:textAlignment w:val="center"/>
        <w:rPr>
          <w:bCs/>
          <w:szCs w:val="20"/>
        </w:rPr>
      </w:pPr>
      <w:r>
        <w:rPr>
          <w:szCs w:val="20"/>
        </w:rPr>
        <w:drawing>
          <wp:inline distT="0" distB="0" distL="114300" distR="114300">
            <wp:extent cx="3239770" cy="1896745"/>
            <wp:effectExtent l="0" t="0" r="17780" b="8255"/>
            <wp:docPr id="14"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hart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239770" cy="1896745"/>
                    </a:xfrm>
                    <a:prstGeom prst="rect">
                      <a:avLst/>
                    </a:prstGeom>
                    <a:noFill/>
                    <a:ln>
                      <a:noFill/>
                    </a:ln>
                  </pic:spPr>
                </pic:pic>
              </a:graphicData>
            </a:graphic>
          </wp:inline>
        </w:drawing>
      </w:r>
    </w:p>
    <w:p>
      <w:pPr>
        <w:snapToGrid w:val="0"/>
        <w:spacing w:before="72" w:beforeLines="30" w:after="72" w:afterLines="30" w:line="300" w:lineRule="auto"/>
        <w:jc w:val="center"/>
        <w:textAlignment w:val="center"/>
        <w:rPr>
          <w:bCs/>
          <w:szCs w:val="20"/>
        </w:rPr>
      </w:pPr>
      <w:r>
        <w:rPr>
          <w:b/>
          <w:bCs/>
          <w:szCs w:val="20"/>
        </w:rPr>
        <w:t xml:space="preserve">Figure </w:t>
      </w:r>
      <w:r>
        <w:rPr>
          <w:rFonts w:hint="eastAsia"/>
          <w:b/>
          <w:bCs/>
          <w:szCs w:val="20"/>
        </w:rPr>
        <w:t>4</w:t>
      </w:r>
      <w:r>
        <w:rPr>
          <w:bCs/>
          <w:szCs w:val="20"/>
        </w:rPr>
        <w:t xml:space="preserve"> SLS throughput results for non-compensated CJT and UE-specific DO/FO pre-compensated CJT</w:t>
      </w:r>
    </w:p>
    <w:p>
      <w:pPr>
        <w:snapToGrid w:val="0"/>
        <w:spacing w:before="72" w:beforeLines="30" w:after="72" w:afterLines="30" w:line="300" w:lineRule="auto"/>
        <w:textAlignment w:val="center"/>
      </w:pPr>
      <w:r>
        <w:rPr>
          <w:b/>
          <w:bCs/>
          <w:i/>
          <w:szCs w:val="20"/>
        </w:rPr>
        <w:t xml:space="preserve">Observation </w:t>
      </w:r>
      <w:r>
        <w:rPr>
          <w:rFonts w:hint="eastAsia"/>
          <w:b/>
          <w:bCs/>
          <w:i/>
          <w:szCs w:val="20"/>
        </w:rPr>
        <w:t>3</w:t>
      </w:r>
      <w:r>
        <w:rPr>
          <w:b/>
          <w:bCs/>
          <w:i/>
          <w:szCs w:val="20"/>
        </w:rPr>
        <w:t>:</w:t>
      </w:r>
      <w:r>
        <w:rPr>
          <w:bCs/>
          <w:i/>
          <w:szCs w:val="20"/>
        </w:rPr>
        <w:t xml:space="preserve"> UE-specific CJT DO/FO pre-compensation can significantly improve the throughput, especially for cell-edge UE.</w:t>
      </w:r>
    </w:p>
    <w:p>
      <w:pPr>
        <w:pStyle w:val="112"/>
        <w:ind w:firstLine="0" w:firstLineChars="0"/>
        <w:rPr>
          <w:rFonts w:eastAsia="Batang"/>
          <w:i/>
          <w:szCs w:val="20"/>
          <w:lang w:val="en-GB" w:eastAsia="en-US"/>
        </w:rPr>
      </w:pPr>
      <w:r>
        <w:rPr>
          <w:rFonts w:hint="eastAsia"/>
          <w:b/>
          <w:bCs/>
          <w:i/>
          <w:szCs w:val="20"/>
        </w:rPr>
        <w:t>Proposal</w:t>
      </w:r>
      <w:r>
        <w:rPr>
          <w:b/>
          <w:bCs/>
          <w:i/>
          <w:szCs w:val="20"/>
        </w:rPr>
        <w:t xml:space="preserve"> </w:t>
      </w:r>
      <w:r>
        <w:rPr>
          <w:rFonts w:hint="eastAsia"/>
          <w:b/>
          <w:bCs/>
          <w:i/>
          <w:szCs w:val="20"/>
        </w:rPr>
        <w:t>9</w:t>
      </w:r>
      <w:r>
        <w:rPr>
          <w:b/>
          <w:bCs/>
          <w:i/>
          <w:szCs w:val="20"/>
        </w:rPr>
        <w:t>:</w:t>
      </w:r>
      <w:r>
        <w:rPr>
          <w:bCs/>
          <w:i/>
          <w:szCs w:val="20"/>
        </w:rPr>
        <w:t xml:space="preserve"> </w:t>
      </w:r>
      <w:r>
        <w:rPr>
          <w:rFonts w:eastAsia="Calibri"/>
          <w:i/>
          <w:szCs w:val="20"/>
          <w:lang w:val="en-GB" w:eastAsia="en-US"/>
        </w:rPr>
        <w:t xml:space="preserve">For the Rel-19 aperiodic standalone CJT calibration (CJTC) reporting, to facilitate UE-specific </w:t>
      </w:r>
      <w:r>
        <w:rPr>
          <w:rFonts w:eastAsia="Batang"/>
          <w:i/>
          <w:szCs w:val="20"/>
          <w:lang w:val="en-GB" w:eastAsia="en-US"/>
        </w:rPr>
        <w:t xml:space="preserve">delay offset pre-compensation on PDSCH by the NW, </w:t>
      </w:r>
      <w:r>
        <w:rPr>
          <w:i/>
          <w:szCs w:val="20"/>
        </w:rPr>
        <w:t>the following working assumptions should be both confirmed.</w:t>
      </w:r>
    </w:p>
    <w:p>
      <w:pPr>
        <w:pStyle w:val="112"/>
        <w:numPr>
          <w:ilvl w:val="0"/>
          <w:numId w:val="13"/>
        </w:numPr>
        <w:snapToGrid w:val="0"/>
        <w:spacing w:before="0" w:after="0"/>
        <w:ind w:firstLineChars="0"/>
        <w:rPr>
          <w:i/>
        </w:rPr>
      </w:pPr>
      <w:r>
        <w:rPr>
          <w:i/>
        </w:rPr>
        <w:t>(Working Assumption) When separately triggered, the delay offset value to be compensated is the latest reported delay offset (DO) whose reporting instance’s last symbol is before the first symbol of DCI triggering of the CJT CSI reporting</w:t>
      </w:r>
      <w:r>
        <w:rPr>
          <w:rFonts w:hint="eastAsia"/>
          <w:i/>
        </w:rPr>
        <w:t>.</w:t>
      </w:r>
    </w:p>
    <w:p>
      <w:pPr>
        <w:pStyle w:val="112"/>
        <w:numPr>
          <w:ilvl w:val="1"/>
          <w:numId w:val="13"/>
        </w:numPr>
        <w:snapToGrid w:val="0"/>
        <w:spacing w:before="0" w:after="0"/>
        <w:ind w:firstLineChars="0"/>
        <w:rPr>
          <w:i/>
        </w:rPr>
      </w:pPr>
      <w:r>
        <w:rPr>
          <w:i/>
        </w:rPr>
        <w:t>FFS: whether some expiration time interval is needed</w:t>
      </w:r>
    </w:p>
    <w:p>
      <w:pPr>
        <w:pStyle w:val="112"/>
        <w:numPr>
          <w:ilvl w:val="0"/>
          <w:numId w:val="13"/>
        </w:numPr>
        <w:snapToGrid w:val="0"/>
        <w:spacing w:before="0" w:after="0"/>
        <w:ind w:firstLineChars="0"/>
        <w:rPr>
          <w:i/>
        </w:rPr>
      </w:pPr>
      <w:r>
        <w:rPr>
          <w:i/>
        </w:rPr>
        <w:t xml:space="preserve">(Working Assumption) When jointly triggered, the delay offset value to be compensated is the reported delay offset (DO) in the same reporting instance </w:t>
      </w:r>
      <w:r>
        <w:rPr>
          <w:rFonts w:hint="eastAsia"/>
          <w:i/>
        </w:rPr>
        <w:t>.</w:t>
      </w:r>
    </w:p>
    <w:p>
      <w:pPr>
        <w:rPr>
          <w:szCs w:val="20"/>
        </w:rPr>
      </w:pPr>
      <w:r>
        <w:rPr>
          <w:rFonts w:hint="eastAsia"/>
          <w:szCs w:val="20"/>
        </w:rPr>
        <w:t>As described in the agreement, configuring a UE to perform PMI calculation for the Rel-18 eType-II CJT CSI report, assuming pre-compensation using the UE-reported delay offset, has been achieved. Moreover, the explicit configuration of the delay offset (DO) is the simplest and most straightforward method to inform the UE of the DO values to be used for PDSCH pre-compensation. Regarding the indication of the delay offset value, the radio resource control (RRC) can be considered as a starting point, although the medium access control control element (MAC-CE) may offer benefits of low latency and low signaling overhead.</w:t>
      </w:r>
    </w:p>
    <w:p>
      <w:pPr>
        <w:pStyle w:val="112"/>
        <w:snapToGrid w:val="0"/>
        <w:spacing w:beforeLines="50" w:afterLines="50" w:line="240" w:lineRule="exact"/>
        <w:ind w:firstLine="0" w:firstLineChars="0"/>
        <w:rPr>
          <w:rFonts w:eastAsia="Batang"/>
          <w:i/>
          <w:szCs w:val="20"/>
          <w:lang w:val="en-GB" w:eastAsia="en-US"/>
        </w:rPr>
      </w:pPr>
      <w:r>
        <w:rPr>
          <w:rFonts w:hint="eastAsia"/>
          <w:b/>
          <w:bCs/>
          <w:i/>
          <w:szCs w:val="20"/>
        </w:rPr>
        <w:t>Proposal</w:t>
      </w:r>
      <w:r>
        <w:rPr>
          <w:b/>
          <w:bCs/>
          <w:i/>
          <w:szCs w:val="20"/>
        </w:rPr>
        <w:t xml:space="preserve"> </w:t>
      </w:r>
      <w:r>
        <w:rPr>
          <w:rFonts w:hint="eastAsia"/>
          <w:b/>
          <w:bCs/>
          <w:i/>
          <w:szCs w:val="20"/>
        </w:rPr>
        <w:t>10</w:t>
      </w:r>
      <w:r>
        <w:rPr>
          <w:b/>
          <w:bCs/>
          <w:i/>
          <w:szCs w:val="20"/>
        </w:rPr>
        <w:t>:</w:t>
      </w:r>
      <w:r>
        <w:rPr>
          <w:bCs/>
          <w:i/>
          <w:szCs w:val="20"/>
        </w:rPr>
        <w:t xml:space="preserve"> </w:t>
      </w:r>
      <w:r>
        <w:rPr>
          <w:rFonts w:eastAsia="Calibri"/>
          <w:i/>
          <w:szCs w:val="20"/>
          <w:lang w:val="en-GB" w:eastAsia="en-US"/>
        </w:rPr>
        <w:t xml:space="preserve">For the Rel-19 aperiodic standalone CJT calibration (CJTC) reporting, to facilitate UE-specific </w:t>
      </w:r>
      <w:r>
        <w:rPr>
          <w:rFonts w:eastAsia="Batang"/>
          <w:i/>
          <w:szCs w:val="20"/>
          <w:lang w:val="en-GB" w:eastAsia="en-US"/>
        </w:rPr>
        <w:t>delay offset pre-compensation on PDSCH by the NW, explicit configuration of DO in addition to the separate/joint triggering should be supported.</w:t>
      </w:r>
    </w:p>
    <w:p>
      <w:pPr>
        <w:pStyle w:val="112"/>
        <w:numPr>
          <w:ilvl w:val="0"/>
          <w:numId w:val="13"/>
        </w:numPr>
        <w:snapToGrid w:val="0"/>
        <w:spacing w:before="0" w:after="0"/>
        <w:ind w:left="839" w:firstLineChars="0"/>
        <w:rPr>
          <w:i/>
          <w:iCs/>
        </w:rPr>
      </w:pPr>
      <w:r>
        <w:rPr>
          <w:rFonts w:hint="eastAsia"/>
          <w:i/>
          <w:iCs/>
          <w:szCs w:val="20"/>
        </w:rPr>
        <w:t>RRC can be considered as a starting point.</w:t>
      </w:r>
    </w:p>
    <w:p>
      <w:pPr>
        <w:pStyle w:val="112"/>
        <w:numPr>
          <w:ilvl w:val="0"/>
          <w:numId w:val="13"/>
        </w:numPr>
        <w:snapToGrid w:val="0"/>
        <w:spacing w:before="0" w:after="0"/>
        <w:ind w:left="839" w:firstLineChars="0"/>
        <w:rPr>
          <w:szCs w:val="20"/>
        </w:rPr>
      </w:pPr>
      <w:r>
        <w:rPr>
          <w:rFonts w:hint="eastAsia"/>
          <w:i/>
          <w:iCs/>
          <w:szCs w:val="20"/>
        </w:rPr>
        <w:t>MAC-CE may have some benefit of low-latency and low-signaling overhead.</w:t>
      </w:r>
    </w:p>
    <w:p>
      <w:pPr>
        <w:rPr>
          <w:szCs w:val="20"/>
        </w:rPr>
      </w:pPr>
      <w:r>
        <w:rPr>
          <w:szCs w:val="20"/>
        </w:rPr>
        <w:t xml:space="preserve">Regarding additional timeline restrictions, for separate triggering, a network-side (NW-side) confirmation mechanism, such as the explicit configuration of the delay offset (DO), should be considered to prevent misaligned understanding of the DO values between the network (NW) and the UE. For the association of the CJT Type-II report with the AP CJT calibration report and SP CJT Type-II report, the CJT Type-II report should be linked to the latest CJT calibration report before the first symbol of the CSI reference resource. Additionally, the UE should only report a valid CJT Type-II report if there is at least one valid DO report within the expiration time interval (e.g., 50ms) before the first symbol of the </w:t>
      </w:r>
      <w:r>
        <w:rPr>
          <w:rFonts w:hint="eastAsia"/>
          <w:szCs w:val="20"/>
        </w:rPr>
        <w:t>d</w:t>
      </w:r>
      <w:r>
        <w:rPr>
          <w:szCs w:val="20"/>
        </w:rPr>
        <w:t xml:space="preserve">ownlink </w:t>
      </w:r>
      <w:r>
        <w:rPr>
          <w:rFonts w:hint="eastAsia"/>
          <w:szCs w:val="20"/>
        </w:rPr>
        <w:t>c</w:t>
      </w:r>
      <w:r>
        <w:rPr>
          <w:szCs w:val="20"/>
        </w:rPr>
        <w:t xml:space="preserve">ontrol </w:t>
      </w:r>
      <w:r>
        <w:rPr>
          <w:rFonts w:hint="eastAsia"/>
          <w:szCs w:val="20"/>
        </w:rPr>
        <w:t>i</w:t>
      </w:r>
      <w:r>
        <w:rPr>
          <w:szCs w:val="20"/>
        </w:rPr>
        <w:t>nformation (DCI) that triggers the CJT Type-II report (for AP CJT Type-II report) or the CSI reference resource (for SP CJT Type-II report). Otherwise, the UE should drop the CJT Type-II report.</w:t>
      </w:r>
    </w:p>
    <w:p>
      <w:pPr>
        <w:rPr>
          <w:szCs w:val="20"/>
        </w:rPr>
      </w:pPr>
      <w:r>
        <w:rPr>
          <w:szCs w:val="20"/>
        </w:rPr>
        <w:t xml:space="preserve">For joint triggering, </w:t>
      </w:r>
      <w:r>
        <w:rPr>
          <w:rFonts w:hint="eastAsia"/>
          <w:szCs w:val="20"/>
        </w:rPr>
        <w:t>the</w:t>
      </w:r>
      <w:r>
        <w:rPr>
          <w:szCs w:val="20"/>
        </w:rPr>
        <w:t xml:space="preserve"> Z/Z’ extension should be considered to give UE </w:t>
      </w:r>
      <w:r>
        <w:rPr>
          <w:rFonts w:hint="eastAsia"/>
          <w:szCs w:val="20"/>
        </w:rPr>
        <w:t>sufficient</w:t>
      </w:r>
      <w:r>
        <w:rPr>
          <w:szCs w:val="20"/>
        </w:rPr>
        <w:t xml:space="preserve"> time to process the two reports</w:t>
      </w:r>
      <w:r>
        <w:rPr>
          <w:rFonts w:hint="eastAsia"/>
          <w:szCs w:val="20"/>
        </w:rPr>
        <w:t>. Therefore, we support extending Z/Z</w:t>
      </w:r>
      <w:r>
        <w:rPr>
          <w:szCs w:val="20"/>
        </w:rPr>
        <w:t>’</w:t>
      </w:r>
      <w:r>
        <w:rPr>
          <w:rFonts w:hint="eastAsia"/>
          <w:szCs w:val="20"/>
        </w:rPr>
        <w:t xml:space="preserve"> as (Z</w:t>
      </w:r>
      <w:r>
        <w:rPr>
          <w:rFonts w:hint="eastAsia"/>
          <w:szCs w:val="20"/>
          <w:vertAlign w:val="subscript"/>
        </w:rPr>
        <w:t>CJT-C</w:t>
      </w:r>
      <w:r>
        <w:rPr>
          <w:rFonts w:hint="eastAsia"/>
          <w:szCs w:val="20"/>
        </w:rPr>
        <w:t>+Z</w:t>
      </w:r>
      <w:r>
        <w:rPr>
          <w:rFonts w:hint="eastAsia"/>
          <w:szCs w:val="20"/>
          <w:vertAlign w:val="subscript"/>
        </w:rPr>
        <w:t>CJT</w:t>
      </w:r>
      <w:r>
        <w:rPr>
          <w:rFonts w:hint="eastAsia"/>
          <w:szCs w:val="20"/>
        </w:rPr>
        <w:t>)/(Z</w:t>
      </w:r>
      <w:r>
        <w:rPr>
          <w:szCs w:val="20"/>
        </w:rPr>
        <w:t>’</w:t>
      </w:r>
      <w:r>
        <w:rPr>
          <w:rFonts w:hint="eastAsia"/>
          <w:szCs w:val="20"/>
          <w:vertAlign w:val="subscript"/>
        </w:rPr>
        <w:t>CJT-C</w:t>
      </w:r>
      <w:r>
        <w:rPr>
          <w:rFonts w:hint="eastAsia"/>
          <w:szCs w:val="20"/>
        </w:rPr>
        <w:t>+Z</w:t>
      </w:r>
      <w:r>
        <w:rPr>
          <w:szCs w:val="20"/>
        </w:rPr>
        <w:t>’</w:t>
      </w:r>
      <w:r>
        <w:rPr>
          <w:rFonts w:hint="eastAsia"/>
          <w:szCs w:val="20"/>
          <w:vertAlign w:val="subscript"/>
        </w:rPr>
        <w:t>CJT</w:t>
      </w:r>
      <w:r>
        <w:rPr>
          <w:rFonts w:hint="eastAsia"/>
          <w:szCs w:val="20"/>
        </w:rPr>
        <w:t>) for joint triggering.</w:t>
      </w:r>
    </w:p>
    <w:p>
      <w:pPr>
        <w:pStyle w:val="112"/>
        <w:snapToGrid w:val="0"/>
        <w:spacing w:beforeLines="50" w:afterLines="50" w:line="240" w:lineRule="exact"/>
        <w:ind w:firstLine="0" w:firstLineChars="0"/>
        <w:rPr>
          <w:rFonts w:eastAsia="Batang"/>
          <w:i/>
          <w:szCs w:val="20"/>
          <w:lang w:val="en-GB" w:eastAsia="en-US"/>
        </w:rPr>
      </w:pPr>
      <w:r>
        <w:rPr>
          <w:rFonts w:hint="eastAsia"/>
          <w:b/>
          <w:bCs/>
          <w:i/>
          <w:szCs w:val="20"/>
        </w:rPr>
        <w:t>Proposal</w:t>
      </w:r>
      <w:r>
        <w:rPr>
          <w:b/>
          <w:bCs/>
          <w:i/>
          <w:szCs w:val="20"/>
        </w:rPr>
        <w:t xml:space="preserve"> </w:t>
      </w:r>
      <w:r>
        <w:rPr>
          <w:rFonts w:hint="eastAsia"/>
          <w:b/>
          <w:bCs/>
          <w:i/>
          <w:szCs w:val="20"/>
        </w:rPr>
        <w:t>11</w:t>
      </w:r>
      <w:r>
        <w:rPr>
          <w:b/>
          <w:bCs/>
          <w:i/>
          <w:szCs w:val="20"/>
        </w:rPr>
        <w:t>:</w:t>
      </w:r>
      <w:r>
        <w:rPr>
          <w:bCs/>
          <w:i/>
          <w:szCs w:val="20"/>
        </w:rPr>
        <w:t xml:space="preserve"> </w:t>
      </w:r>
      <w:r>
        <w:rPr>
          <w:rFonts w:eastAsia="Calibri"/>
          <w:i/>
          <w:szCs w:val="20"/>
          <w:lang w:val="en-GB" w:eastAsia="en-US"/>
        </w:rPr>
        <w:t xml:space="preserve">For the Rel-19 aperiodic standalone CJT calibration (CJTC) reporting, </w:t>
      </w:r>
      <w:r>
        <w:rPr>
          <w:rFonts w:hint="eastAsia"/>
          <w:i/>
          <w:szCs w:val="20"/>
        </w:rPr>
        <w:t xml:space="preserve">regarding timeline restrictions of separate/joint triggering </w:t>
      </w:r>
      <w:r>
        <w:rPr>
          <w:rFonts w:eastAsia="Calibri"/>
          <w:i/>
          <w:szCs w:val="20"/>
          <w:lang w:val="en-GB" w:eastAsia="en-US"/>
        </w:rPr>
        <w:t xml:space="preserve">to facilitate UE-specific </w:t>
      </w:r>
      <w:r>
        <w:rPr>
          <w:rFonts w:eastAsia="Batang"/>
          <w:i/>
          <w:szCs w:val="20"/>
          <w:lang w:val="en-GB" w:eastAsia="en-US"/>
        </w:rPr>
        <w:t>delay offset pre-compensation, the following should be supported</w:t>
      </w:r>
    </w:p>
    <w:p>
      <w:pPr>
        <w:pStyle w:val="112"/>
        <w:numPr>
          <w:ilvl w:val="0"/>
          <w:numId w:val="13"/>
        </w:numPr>
        <w:snapToGrid w:val="0"/>
        <w:spacing w:beforeLines="50" w:afterLines="50" w:line="240" w:lineRule="exact"/>
        <w:ind w:left="839" w:firstLineChars="0"/>
        <w:rPr>
          <w:i/>
        </w:rPr>
      </w:pPr>
      <w:r>
        <w:rPr>
          <w:bCs/>
          <w:i/>
          <w:szCs w:val="20"/>
          <w:lang w:val="en-GB" w:eastAsia="en-US"/>
        </w:rPr>
        <w:t>Regarding separately triggering</w:t>
      </w:r>
    </w:p>
    <w:p>
      <w:pPr>
        <w:pStyle w:val="112"/>
        <w:numPr>
          <w:ilvl w:val="1"/>
          <w:numId w:val="13"/>
        </w:numPr>
        <w:snapToGrid w:val="0"/>
        <w:spacing w:beforeLines="50" w:afterLines="50" w:line="240" w:lineRule="exact"/>
        <w:ind w:left="1259" w:firstLineChars="0"/>
        <w:rPr>
          <w:i/>
        </w:rPr>
      </w:pPr>
      <w:r>
        <w:rPr>
          <w:rFonts w:hint="eastAsia"/>
          <w:i/>
          <w:szCs w:val="20"/>
        </w:rPr>
        <w:t>For AP CJT calibration report and SP CJT Type-II report, the CJT Type-II report is associated with the latest CJT calibration report before the first symbol of the CSI reference resource.</w:t>
      </w:r>
    </w:p>
    <w:p>
      <w:pPr>
        <w:pStyle w:val="112"/>
        <w:numPr>
          <w:ilvl w:val="1"/>
          <w:numId w:val="13"/>
        </w:numPr>
        <w:snapToGrid w:val="0"/>
        <w:spacing w:beforeLines="50" w:afterLines="50" w:line="240" w:lineRule="exact"/>
        <w:ind w:left="1259" w:firstLineChars="0"/>
        <w:rPr>
          <w:i/>
          <w:szCs w:val="20"/>
        </w:rPr>
      </w:pPr>
      <w:r>
        <w:rPr>
          <w:rFonts w:hint="eastAsia"/>
          <w:i/>
          <w:szCs w:val="20"/>
        </w:rPr>
        <w:t>UE only reports a valid CJT Type-II report if there is at least one valid DO report within the expiration time interval (e.g., 50ms) before the first symbol of the DCI triggering the CJT Type-II report (for AP CJT Type-II report) or the CSI reference resource (for SP CJT Type-II report), otherwise, UE drops the CJT Type-II report.</w:t>
      </w:r>
    </w:p>
    <w:p>
      <w:pPr>
        <w:pStyle w:val="112"/>
        <w:numPr>
          <w:ilvl w:val="0"/>
          <w:numId w:val="13"/>
        </w:numPr>
        <w:snapToGrid w:val="0"/>
        <w:spacing w:beforeLines="50" w:afterLines="50" w:line="240" w:lineRule="exact"/>
        <w:ind w:left="839" w:firstLineChars="0"/>
        <w:rPr>
          <w:i/>
        </w:rPr>
      </w:pPr>
      <w:r>
        <w:rPr>
          <w:bCs/>
          <w:i/>
          <w:szCs w:val="20"/>
          <w:lang w:val="en-GB" w:eastAsia="en-US"/>
        </w:rPr>
        <w:t>Regarding jointly triggering</w:t>
      </w:r>
    </w:p>
    <w:p>
      <w:pPr>
        <w:pStyle w:val="112"/>
        <w:numPr>
          <w:ilvl w:val="1"/>
          <w:numId w:val="13"/>
        </w:numPr>
        <w:snapToGrid w:val="0"/>
        <w:spacing w:beforeLines="50" w:afterLines="50" w:line="240" w:lineRule="exact"/>
        <w:ind w:left="1259" w:firstLineChars="0"/>
        <w:rPr>
          <w:rFonts w:eastAsiaTheme="minorEastAsia"/>
          <w:szCs w:val="24"/>
          <w:lang w:val="en-GB"/>
        </w:rPr>
      </w:pPr>
      <w:r>
        <w:rPr>
          <w:rFonts w:hint="eastAsia"/>
          <w:i/>
          <w:szCs w:val="20"/>
        </w:rPr>
        <w:t>Extending Z/Z</w:t>
      </w:r>
      <w:r>
        <w:rPr>
          <w:i/>
          <w:szCs w:val="20"/>
        </w:rPr>
        <w:t>’</w:t>
      </w:r>
      <w:r>
        <w:rPr>
          <w:rFonts w:hint="eastAsia"/>
          <w:i/>
          <w:szCs w:val="20"/>
        </w:rPr>
        <w:t xml:space="preserve"> as (Z</w:t>
      </w:r>
      <w:r>
        <w:rPr>
          <w:rFonts w:hint="eastAsia"/>
          <w:i/>
          <w:szCs w:val="20"/>
          <w:vertAlign w:val="subscript"/>
        </w:rPr>
        <w:t>CJT-C</w:t>
      </w:r>
      <w:r>
        <w:rPr>
          <w:rFonts w:hint="eastAsia"/>
          <w:i/>
          <w:szCs w:val="20"/>
        </w:rPr>
        <w:t>+Z</w:t>
      </w:r>
      <w:r>
        <w:rPr>
          <w:rFonts w:hint="eastAsia"/>
          <w:i/>
          <w:szCs w:val="20"/>
          <w:vertAlign w:val="subscript"/>
        </w:rPr>
        <w:t>CJT</w:t>
      </w:r>
      <w:r>
        <w:rPr>
          <w:rFonts w:hint="eastAsia"/>
          <w:i/>
          <w:szCs w:val="20"/>
        </w:rPr>
        <w:t>)/(Z</w:t>
      </w:r>
      <w:r>
        <w:rPr>
          <w:i/>
          <w:szCs w:val="20"/>
        </w:rPr>
        <w:t>’</w:t>
      </w:r>
      <w:r>
        <w:rPr>
          <w:rFonts w:hint="eastAsia"/>
          <w:i/>
          <w:szCs w:val="20"/>
          <w:vertAlign w:val="subscript"/>
        </w:rPr>
        <w:t>CJT-C</w:t>
      </w:r>
      <w:r>
        <w:rPr>
          <w:rFonts w:hint="eastAsia"/>
          <w:i/>
          <w:szCs w:val="20"/>
        </w:rPr>
        <w:t>+Z</w:t>
      </w:r>
      <w:r>
        <w:rPr>
          <w:i/>
          <w:szCs w:val="20"/>
        </w:rPr>
        <w:t>’</w:t>
      </w:r>
      <w:r>
        <w:rPr>
          <w:rFonts w:hint="eastAsia"/>
          <w:i/>
          <w:szCs w:val="20"/>
          <w:vertAlign w:val="subscript"/>
        </w:rPr>
        <w:t>CJT</w:t>
      </w:r>
      <w:r>
        <w:rPr>
          <w:rFonts w:hint="eastAsia"/>
          <w:i/>
          <w:szCs w:val="20"/>
        </w:rPr>
        <w:t>) for joint triggering.</w:t>
      </w:r>
    </w:p>
    <w:p>
      <w:pPr>
        <w:pStyle w:val="112"/>
        <w:ind w:firstLine="0" w:firstLineChars="0"/>
        <w:rPr>
          <w:rFonts w:eastAsiaTheme="minorEastAsia"/>
          <w:szCs w:val="24"/>
        </w:rPr>
      </w:pPr>
      <w:r>
        <w:rPr>
          <w:rFonts w:eastAsiaTheme="minorEastAsia"/>
          <w:szCs w:val="24"/>
        </w:rPr>
        <w:t>Considering that the Rel-19 Type-I MP codebook CSI can also be applied to the CJT scenario, linking the CJT calibration report with the Rel-19 Type-I MP codebook CSI report is advantageous. Therefore, we support the additional application of the linking scheme to the Rel-19 Type-I MP codebook CSI report.</w:t>
      </w:r>
    </w:p>
    <w:p>
      <w:pPr>
        <w:pStyle w:val="112"/>
        <w:snapToGrid w:val="0"/>
        <w:spacing w:beforeLines="50" w:afterLines="50" w:line="240" w:lineRule="exact"/>
        <w:ind w:firstLine="0" w:firstLineChars="0"/>
        <w:rPr>
          <w:rFonts w:eastAsia="Batang"/>
          <w:i/>
          <w:szCs w:val="20"/>
          <w:lang w:val="en-GB" w:eastAsia="en-US"/>
        </w:rPr>
      </w:pPr>
      <w:r>
        <w:rPr>
          <w:rFonts w:hint="eastAsia"/>
          <w:b/>
          <w:bCs/>
          <w:i/>
          <w:szCs w:val="20"/>
        </w:rPr>
        <w:t>Proposal</w:t>
      </w:r>
      <w:r>
        <w:rPr>
          <w:b/>
          <w:bCs/>
          <w:i/>
          <w:szCs w:val="20"/>
        </w:rPr>
        <w:t xml:space="preserve"> </w:t>
      </w:r>
      <w:r>
        <w:rPr>
          <w:rFonts w:hint="eastAsia"/>
          <w:b/>
          <w:bCs/>
          <w:i/>
          <w:szCs w:val="20"/>
        </w:rPr>
        <w:t>12</w:t>
      </w:r>
      <w:r>
        <w:rPr>
          <w:b/>
          <w:bCs/>
          <w:i/>
          <w:szCs w:val="20"/>
        </w:rPr>
        <w:t>:</w:t>
      </w:r>
      <w:r>
        <w:rPr>
          <w:bCs/>
          <w:i/>
          <w:szCs w:val="20"/>
        </w:rPr>
        <w:t xml:space="preserve"> </w:t>
      </w:r>
      <w:r>
        <w:rPr>
          <w:rFonts w:eastAsia="Calibri"/>
          <w:i/>
          <w:szCs w:val="20"/>
          <w:lang w:val="en-GB" w:eastAsia="en-US"/>
        </w:rPr>
        <w:t xml:space="preserve">For the Rel-19 aperiodic standalone CJT calibration (CJTC) reporting, </w:t>
      </w:r>
      <w:r>
        <w:rPr>
          <w:rFonts w:hint="eastAsia"/>
          <w:i/>
          <w:szCs w:val="20"/>
        </w:rPr>
        <w:t xml:space="preserve">regarding Rel-19 Type-I MP codebook CSI report </w:t>
      </w:r>
      <w:r>
        <w:rPr>
          <w:rFonts w:eastAsia="Calibri"/>
          <w:i/>
          <w:szCs w:val="20"/>
          <w:lang w:val="en-GB" w:eastAsia="en-US"/>
        </w:rPr>
        <w:t xml:space="preserve">to facilitate UE-specific </w:t>
      </w:r>
      <w:r>
        <w:rPr>
          <w:rFonts w:eastAsia="Batang"/>
          <w:i/>
          <w:szCs w:val="20"/>
          <w:lang w:val="en-GB" w:eastAsia="en-US"/>
        </w:rPr>
        <w:t>delay offset pre-compensation, l</w:t>
      </w:r>
      <w:r>
        <w:rPr>
          <w:rFonts w:hint="eastAsia" w:eastAsia="Batang"/>
          <w:i/>
          <w:szCs w:val="20"/>
          <w:lang w:val="en-GB" w:eastAsia="en-US"/>
        </w:rPr>
        <w:t xml:space="preserve">inking the CJT calibration report with the Rel-19 </w:t>
      </w:r>
      <w:r>
        <w:rPr>
          <w:rFonts w:eastAsia="Batang"/>
          <w:i/>
          <w:szCs w:val="20"/>
          <w:lang w:val="en-GB" w:eastAsia="en-US"/>
        </w:rPr>
        <w:t>Type-I MP codebook</w:t>
      </w:r>
      <w:r>
        <w:rPr>
          <w:rFonts w:hint="eastAsia" w:eastAsia="Batang"/>
          <w:i/>
          <w:szCs w:val="20"/>
          <w:lang w:val="en-GB" w:eastAsia="en-US"/>
        </w:rPr>
        <w:t xml:space="preserve"> CSI report</w:t>
      </w:r>
      <w:r>
        <w:rPr>
          <w:rFonts w:eastAsia="Batang"/>
          <w:i/>
          <w:szCs w:val="20"/>
          <w:lang w:val="en-GB" w:eastAsia="en-US"/>
        </w:rPr>
        <w:t xml:space="preserve"> should be supported.</w:t>
      </w:r>
    </w:p>
    <w:p>
      <w:pPr>
        <w:pStyle w:val="112"/>
        <w:snapToGrid w:val="0"/>
        <w:spacing w:beforeLines="50" w:afterLines="50" w:line="240" w:lineRule="exact"/>
        <w:ind w:firstLine="0" w:firstLineChars="0"/>
        <w:rPr>
          <w:bCs/>
          <w:szCs w:val="20"/>
        </w:rPr>
      </w:pPr>
      <w:r>
        <w:rPr>
          <w:bCs/>
          <w:szCs w:val="20"/>
        </w:rPr>
        <w:t xml:space="preserve">As previously mentioned, the facilitation of UE-specific delay offset (DO) pre-compensation on PDSCH by the network is discussed. However, UE-specific frequency offset (FO) pre-compensation on PDSCH is still </w:t>
      </w:r>
      <w:r>
        <w:rPr>
          <w:rFonts w:hint="eastAsia"/>
          <w:bCs/>
          <w:szCs w:val="20"/>
        </w:rPr>
        <w:t>pending</w:t>
      </w:r>
      <w:r>
        <w:rPr>
          <w:bCs/>
          <w:szCs w:val="20"/>
        </w:rPr>
        <w:t>. If the UE needs to account for the DO and/or FO when calculating the RI, PMI, and CQI in the CJT CSI, new precoding assumptions are required for the RI/PMI/CQI calculation for DO/FO pre-compensated CJT.</w:t>
      </w:r>
    </w:p>
    <w:p>
      <w:pPr>
        <w:pStyle w:val="112"/>
        <w:numPr>
          <w:ilvl w:val="0"/>
          <w:numId w:val="13"/>
        </w:numPr>
        <w:ind w:firstLineChars="0"/>
        <w:rPr>
          <w:bCs/>
          <w:szCs w:val="20"/>
        </w:rPr>
      </w:pPr>
      <w:r>
        <w:rPr>
          <w:bCs/>
          <w:szCs w:val="20"/>
        </w:rPr>
        <w:t>If the DO is pre-compensated, the real precoder is determined by the CJT PMI and the DO. The precoding assumption can be expressed as</w:t>
      </w:r>
    </w:p>
    <w:p>
      <w:pPr>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eastAsia="Cambria Math"/>
                              <w:szCs w:val="20"/>
                            </w:rPr>
                            <m:t>⋮</m:t>
                          </m:r>
                          <m:ctrlPr>
                            <w:rPr>
                              <w:rFonts w:ascii="Cambria Math" w:hAnsi="Cambria Math" w:eastAsia="Cambria Math"/>
                              <w:szCs w:val="20"/>
                            </w:rPr>
                          </m:ctrlPr>
                        </m:e>
                      </m:m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szCs w:val="20"/>
                            </w:rPr>
                            <m:t>⋮</m:t>
                          </m:r>
                          <m:ctrlPr>
                            <w:rPr>
                              <w:rFonts w:ascii="Cambria Math" w:hAnsi="Cambria Math"/>
                              <w:szCs w:val="20"/>
                            </w:rPr>
                          </m:ctrlPr>
                        </m:e>
                      </m:m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m>
                      <m:mPr>
                        <m:mcs>
                          <m:mc>
                            <m:mcPr>
                              <m:count m:val="1"/>
                              <m:mcJc m:val="center"/>
                            </m:mcPr>
                          </m:mc>
                        </m:mcs>
                        <m:ctrlPr>
                          <w:rPr>
                            <w:rFonts w:ascii="Cambria Math" w:hAnsi="Cambria Math"/>
                            <w:szCs w:val="20"/>
                          </w:rPr>
                        </m:ctrlPr>
                      </m:mPr>
                      <m:mr>
                        <m:e>
                          <m:r>
                            <m:rPr>
                              <m:sty m:val="p"/>
                            </m:rPr>
                            <w:rPr>
                              <w:rFonts w:ascii="Cambria Math" w:hAnsi="Cambria Math"/>
                              <w:szCs w:val="20"/>
                            </w:rPr>
                            <m:t>⋮</m:t>
                          </m:r>
                          <m:ctrlPr>
                            <w:rPr>
                              <w:rFonts w:ascii="Cambria Math" w:hAnsi="Cambria Math"/>
                              <w:szCs w:val="20"/>
                            </w:rPr>
                          </m:ctrlPr>
                        </m:e>
                      </m:mr>
                      <m:mr>
                        <m:e>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m:sty m:val="p"/>
                            </m:rPr>
                            <w:rPr>
                              <w:rFonts w:ascii="Cambria Math" w:hAnsi="Cambria Math"/>
                              <w:szCs w:val="20"/>
                            </w:rPr>
                            <m:t>0</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w:rPr>
                              <w:rFonts w:ascii="Cambria Math" w:hAnsi="Cambria Math"/>
                              <w:szCs w:val="20"/>
                            </w:rPr>
                            <m:t>υ</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qArr>
              <m:ctrlPr>
                <w:rPr>
                  <w:rFonts w:ascii="Cambria Math" w:hAnsi="Cambria Math"/>
                  <w:szCs w:val="20"/>
                </w:rPr>
              </m:ctrlPr>
            </m:e>
          </m:d>
        </m:oMath>
      </m:oMathPara>
    </w:p>
    <w:p>
      <w:pPr>
        <w:pStyle w:val="112"/>
        <w:numPr>
          <w:ilvl w:val="0"/>
          <w:numId w:val="13"/>
        </w:numPr>
        <w:ind w:firstLineChars="0"/>
        <w:rPr>
          <w:bCs/>
          <w:szCs w:val="20"/>
        </w:rPr>
      </w:pPr>
      <w:r>
        <w:rPr>
          <w:bCs/>
          <w:szCs w:val="20"/>
        </w:rPr>
        <w:t>If the FO is pre-compensated, the real precoder is determined by the CJT PMI and the FO. The precoding assumption can be expressed as</w:t>
      </w:r>
    </w:p>
    <w:p>
      <w:pPr>
        <w:pStyle w:val="86"/>
        <w:spacing w:after="120" w:afterLines="50"/>
        <w:ind w:left="840" w:firstLine="0" w:firstLineChars="0"/>
        <w:jc w:val="center"/>
        <w:rPr>
          <w:sz w:val="20"/>
          <w:szCs w:val="20"/>
        </w:rPr>
      </w:pPr>
      <m:oMathPara>
        <m:oMath>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eqArr>
                      <m:eqArrPr>
                        <m:ctrlPr>
                          <w:rPr>
                            <w:rFonts w:ascii="Cambria Math" w:hAnsi="Cambria Math"/>
                            <w:sz w:val="20"/>
                            <w:szCs w:val="20"/>
                          </w:rPr>
                        </m:ctrlPr>
                      </m:eqArrPr>
                      <m:e>
                        <m:sSubSup>
                          <m:sSubSupPr>
                            <m:ctrlPr>
                              <w:rPr>
                                <w:rFonts w:ascii="Cambria Math" w:hAnsi="Cambria Math"/>
                                <w:sz w:val="20"/>
                                <w:szCs w:val="20"/>
                              </w:rPr>
                            </m:ctrlPr>
                          </m:sSubSupPr>
                          <m:e>
                            <m:r>
                              <m:rPr/>
                              <w:rPr>
                                <w:rFonts w:ascii="Cambria Math" w:hAnsi="Cambria Math"/>
                                <w:sz w:val="20"/>
                                <w:szCs w:val="20"/>
                              </w:rPr>
                              <m:t>y</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ctrlPr>
                              <w:rPr>
                                <w:rFonts w:ascii="Cambria Math" w:hAnsi="Cambria Math"/>
                                <w:sz w:val="20"/>
                                <w:szCs w:val="20"/>
                              </w:rPr>
                            </m:ctrlPr>
                          </m:sub>
                          <m:sup>
                            <m:d>
                              <m:dPr>
                                <m:ctrlPr>
                                  <w:rPr>
                                    <w:rFonts w:ascii="Cambria Math" w:hAnsi="Cambria Math"/>
                                    <w:sz w:val="20"/>
                                    <w:szCs w:val="20"/>
                                  </w:rPr>
                                </m:ctrlPr>
                              </m:dPr>
                              <m:e>
                                <m:r>
                                  <m:rPr>
                                    <m:sty m:val="p"/>
                                  </m:rPr>
                                  <w:rPr>
                                    <w:rFonts w:ascii="Cambria Math" w:hAnsi="Cambria Math"/>
                                    <w:sz w:val="20"/>
                                    <w:szCs w:val="20"/>
                                  </w:rPr>
                                  <m:t>3000</m:t>
                                </m:r>
                                <m:ctrlPr>
                                  <w:rPr>
                                    <w:rFonts w:ascii="Cambria Math" w:hAnsi="Cambria Math"/>
                                    <w:sz w:val="20"/>
                                    <w:szCs w:val="20"/>
                                  </w:rPr>
                                </m:ctrlPr>
                              </m:e>
                            </m:d>
                            <m:ctrlPr>
                              <w:rPr>
                                <w:rFonts w:ascii="Cambria Math" w:hAnsi="Cambria Math"/>
                                <w:sz w:val="20"/>
                                <w:szCs w:val="20"/>
                              </w:rPr>
                            </m:ctrlPr>
                          </m:sup>
                        </m:sSubSup>
                        <m:r>
                          <m:rPr>
                            <m:sty m:val="p"/>
                          </m:rPr>
                          <w:rPr>
                            <w:rFonts w:ascii="Cambria Math" w:hAnsi="Cambria Math"/>
                            <w:sz w:val="20"/>
                            <w:szCs w:val="20"/>
                          </w:rPr>
                          <m:t>(</m:t>
                        </m:r>
                        <m:r>
                          <m:rPr/>
                          <w:rPr>
                            <w:rFonts w:ascii="Cambria Math" w:hAnsi="Cambria Math"/>
                            <w:sz w:val="20"/>
                            <w:szCs w:val="20"/>
                          </w:rPr>
                          <m:t>k,l</m:t>
                        </m:r>
                        <m:r>
                          <m:rPr>
                            <m:sty m:val="p"/>
                          </m:rPr>
                          <w:rPr>
                            <w:rFonts w:ascii="Cambria Math" w:hAnsi="Cambria Math"/>
                            <w:sz w:val="20"/>
                            <w:szCs w:val="20"/>
                          </w:rPr>
                          <m:t>)</m:t>
                        </m:r>
                        <m:ctrlPr>
                          <w:rPr>
                            <w:rFonts w:ascii="Cambria Math" w:hAnsi="Cambria Math"/>
                            <w:sz w:val="20"/>
                            <w:szCs w:val="20"/>
                          </w:rPr>
                        </m:ctrlPr>
                      </m:e>
                      <m:e>
                        <m:r>
                          <m:rPr>
                            <m:sty m:val="p"/>
                          </m:rPr>
                          <w:rPr>
                            <w:rFonts w:ascii="Cambria Math" w:hAnsi="Cambria Math"/>
                            <w:sz w:val="20"/>
                            <w:szCs w:val="20"/>
                          </w:rPr>
                          <m:t>⋮</m:t>
                        </m:r>
                        <m:ctrlPr>
                          <w:rPr>
                            <w:rFonts w:ascii="Cambria Math" w:hAnsi="Cambria Math" w:eastAsia="Cambria Math"/>
                            <w:sz w:val="20"/>
                            <w:szCs w:val="20"/>
                          </w:rPr>
                        </m:ctrlPr>
                      </m:e>
                      <m:e>
                        <m:sSubSup>
                          <m:sSubSupPr>
                            <m:ctrlPr>
                              <w:rPr>
                                <w:rFonts w:ascii="Cambria Math" w:hAnsi="Cambria Math"/>
                                <w:sz w:val="20"/>
                                <w:szCs w:val="20"/>
                              </w:rPr>
                            </m:ctrlPr>
                          </m:sSubSupPr>
                          <m:e>
                            <m:r>
                              <m:rPr/>
                              <w:rPr>
                                <w:rFonts w:ascii="Cambria Math" w:hAnsi="Cambria Math"/>
                                <w:sz w:val="20"/>
                                <w:szCs w:val="20"/>
                              </w:rPr>
                              <m:t>y</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ctrlPr>
                              <w:rPr>
                                <w:rFonts w:ascii="Cambria Math" w:hAnsi="Cambria Math"/>
                                <w:sz w:val="20"/>
                                <w:szCs w:val="20"/>
                              </w:rPr>
                            </m:ctrlPr>
                          </m:sub>
                          <m:sup>
                            <m:d>
                              <m:dPr>
                                <m:ctrlPr>
                                  <w:rPr>
                                    <w:rFonts w:ascii="Cambria Math" w:hAnsi="Cambria Math"/>
                                    <w:sz w:val="20"/>
                                    <w:szCs w:val="20"/>
                                  </w:rPr>
                                </m:ctrlPr>
                              </m:dPr>
                              <m:e>
                                <m:r>
                                  <m:rPr>
                                    <m:sty m:val="p"/>
                                  </m:rPr>
                                  <w:rPr>
                                    <w:rFonts w:ascii="Cambria Math" w:hAnsi="Cambria Math"/>
                                    <w:sz w:val="20"/>
                                    <w:szCs w:val="20"/>
                                  </w:rPr>
                                  <m:t>3000+</m:t>
                                </m:r>
                                <m:r>
                                  <m:rPr/>
                                  <w:rPr>
                                    <w:rFonts w:ascii="Cambria Math" w:hAnsi="Cambria Math"/>
                                    <w:sz w:val="20"/>
                                    <w:szCs w:val="20"/>
                                  </w:rPr>
                                  <m:t>P</m:t>
                                </m:r>
                                <m:r>
                                  <m:rPr>
                                    <m:sty m:val="p"/>
                                  </m:rPr>
                                  <w:rPr>
                                    <w:rFonts w:ascii="Cambria Math" w:hAnsi="Cambria Math"/>
                                    <w:sz w:val="20"/>
                                    <w:szCs w:val="20"/>
                                  </w:rPr>
                                  <m:t>−1</m:t>
                                </m:r>
                                <m:ctrlPr>
                                  <w:rPr>
                                    <w:rFonts w:ascii="Cambria Math" w:hAnsi="Cambria Math"/>
                                    <w:sz w:val="20"/>
                                    <w:szCs w:val="20"/>
                                  </w:rPr>
                                </m:ctrlPr>
                              </m:e>
                            </m:d>
                            <m:ctrlPr>
                              <w:rPr>
                                <w:rFonts w:ascii="Cambria Math" w:hAnsi="Cambria Math"/>
                                <w:sz w:val="20"/>
                                <w:szCs w:val="20"/>
                              </w:rPr>
                            </m:ctrlPr>
                          </m:sup>
                        </m:sSubSup>
                        <m:r>
                          <m:rPr>
                            <m:sty m:val="p"/>
                          </m:rPr>
                          <w:rPr>
                            <w:rFonts w:ascii="Cambria Math" w:hAnsi="Cambria Math"/>
                            <w:sz w:val="20"/>
                            <w:szCs w:val="20"/>
                          </w:rPr>
                          <m:t>(</m:t>
                        </m:r>
                        <m:r>
                          <m:rPr/>
                          <w:rPr>
                            <w:rFonts w:ascii="Cambria Math" w:hAnsi="Cambria Math"/>
                            <w:sz w:val="20"/>
                            <w:szCs w:val="20"/>
                          </w:rPr>
                          <m:t>k,l</m:t>
                        </m:r>
                        <m:r>
                          <m:rPr>
                            <m:sty m:val="p"/>
                          </m:rPr>
                          <w:rPr>
                            <w:rFonts w:ascii="Cambria Math" w:hAnsi="Cambria Math"/>
                            <w:sz w:val="20"/>
                            <w:szCs w:val="20"/>
                          </w:rPr>
                          <m:t>)</m:t>
                        </m:r>
                        <m:ctrlPr>
                          <w:rPr>
                            <w:rFonts w:ascii="Cambria Math" w:hAnsi="Cambria Math"/>
                            <w:sz w:val="20"/>
                            <w:szCs w:val="20"/>
                          </w:rPr>
                        </m:ctrlPr>
                      </m:e>
                    </m:eqArr>
                    <m:ctrlPr>
                      <w:rPr>
                        <w:rFonts w:ascii="Cambria Math" w:hAnsi="Cambria Math"/>
                        <w:sz w:val="20"/>
                        <w:szCs w:val="20"/>
                      </w:rPr>
                    </m:ctrlPr>
                  </m:e>
                </m:mr>
                <m:mr>
                  <m:e>
                    <m:m>
                      <m:mPr>
                        <m:mcs>
                          <m:mc>
                            <m:mcPr>
                              <m:count m:val="1"/>
                              <m:mcJc m:val="center"/>
                            </m:mcPr>
                          </m:mc>
                        </m:mcs>
                        <m:ctrlPr>
                          <w:rPr>
                            <w:rFonts w:ascii="Cambria Math" w:hAnsi="Cambria Math"/>
                            <w:sz w:val="20"/>
                            <w:szCs w:val="20"/>
                          </w:rPr>
                        </m:ctrlPr>
                      </m:mPr>
                      <m:mr>
                        <m:e>
                          <m:sSubSup>
                            <m:sSubSupPr>
                              <m:ctrlPr>
                                <w:rPr>
                                  <w:rFonts w:ascii="Cambria Math" w:hAnsi="Cambria Math"/>
                                  <w:sz w:val="20"/>
                                  <w:szCs w:val="20"/>
                                </w:rPr>
                              </m:ctrlPr>
                            </m:sSubSupPr>
                            <m:e>
                              <m:r>
                                <m:rPr/>
                                <w:rPr>
                                  <w:rFonts w:ascii="Cambria Math" w:hAnsi="Cambria Math"/>
                                  <w:sz w:val="20"/>
                                  <w:szCs w:val="20"/>
                                </w:rPr>
                                <m:t>y</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ctrlPr>
                                <w:rPr>
                                  <w:rFonts w:ascii="Cambria Math" w:hAnsi="Cambria Math"/>
                                  <w:sz w:val="20"/>
                                  <w:szCs w:val="20"/>
                                </w:rPr>
                              </m:ctrlPr>
                            </m:sub>
                            <m:sup>
                              <m:d>
                                <m:dPr>
                                  <m:ctrlPr>
                                    <w:rPr>
                                      <w:rFonts w:ascii="Cambria Math" w:hAnsi="Cambria Math"/>
                                      <w:sz w:val="20"/>
                                      <w:szCs w:val="20"/>
                                    </w:rPr>
                                  </m:ctrlPr>
                                </m:dPr>
                                <m:e>
                                  <m:r>
                                    <m:rPr>
                                      <m:sty m:val="p"/>
                                    </m:rPr>
                                    <w:rPr>
                                      <w:rFonts w:ascii="Cambria Math" w:hAnsi="Cambria Math"/>
                                      <w:sz w:val="20"/>
                                      <w:szCs w:val="20"/>
                                    </w:rPr>
                                    <m:t>3000</m:t>
                                  </m:r>
                                  <m:ctrlPr>
                                    <w:rPr>
                                      <w:rFonts w:ascii="Cambria Math" w:hAnsi="Cambria Math"/>
                                      <w:sz w:val="20"/>
                                      <w:szCs w:val="20"/>
                                    </w:rPr>
                                  </m:ctrlPr>
                                </m:e>
                              </m:d>
                              <m:ctrlPr>
                                <w:rPr>
                                  <w:rFonts w:ascii="Cambria Math" w:hAnsi="Cambria Math"/>
                                  <w:sz w:val="20"/>
                                  <w:szCs w:val="20"/>
                                </w:rPr>
                              </m:ctrlPr>
                            </m:sup>
                          </m:sSubSup>
                          <m:r>
                            <m:rPr>
                              <m:sty m:val="p"/>
                            </m:rPr>
                            <w:rPr>
                              <w:rFonts w:ascii="Cambria Math" w:hAnsi="Cambria Math"/>
                              <w:sz w:val="20"/>
                              <w:szCs w:val="20"/>
                            </w:rPr>
                            <m:t>(</m:t>
                          </m:r>
                          <m:r>
                            <m:rPr/>
                            <w:rPr>
                              <w:rFonts w:ascii="Cambria Math" w:hAnsi="Cambria Math"/>
                              <w:sz w:val="20"/>
                              <w:szCs w:val="20"/>
                            </w:rPr>
                            <m:t>k,l</m:t>
                          </m:r>
                          <m:r>
                            <m:rPr>
                              <m:sty m:val="p"/>
                            </m:rPr>
                            <w:rPr>
                              <w:rFonts w:ascii="Cambria Math" w:hAnsi="Cambria Math"/>
                              <w:sz w:val="20"/>
                              <w:szCs w:val="20"/>
                            </w:rPr>
                            <m:t>)</m:t>
                          </m:r>
                          <m:ctrlPr>
                            <w:rPr>
                              <w:rFonts w:ascii="Cambria Math" w:hAnsi="Cambria Math" w:eastAsia="Cambria Math"/>
                              <w:sz w:val="20"/>
                              <w:szCs w:val="20"/>
                            </w:rPr>
                          </m:ctrlPr>
                        </m:e>
                      </m:mr>
                      <m:mr>
                        <m:e>
                          <m:r>
                            <m:rPr>
                              <m:sty m:val="p"/>
                            </m:rPr>
                            <w:rPr>
                              <w:rFonts w:ascii="Cambria Math" w:hAnsi="Cambria Math" w:eastAsia="Cambria Math"/>
                              <w:sz w:val="20"/>
                              <w:szCs w:val="20"/>
                            </w:rPr>
                            <m:t>⋮</m:t>
                          </m:r>
                          <m:ctrlPr>
                            <w:rPr>
                              <w:rFonts w:ascii="Cambria Math" w:hAnsi="Cambria Math" w:eastAsia="Cambria Math"/>
                              <w:sz w:val="20"/>
                              <w:szCs w:val="20"/>
                            </w:rPr>
                          </m:ctrlPr>
                        </m:e>
                      </m:mr>
                      <m:mr>
                        <m:e>
                          <m:sSubSup>
                            <m:sSubSupPr>
                              <m:ctrlPr>
                                <w:rPr>
                                  <w:rFonts w:ascii="Cambria Math" w:hAnsi="Cambria Math"/>
                                  <w:sz w:val="20"/>
                                  <w:szCs w:val="20"/>
                                </w:rPr>
                              </m:ctrlPr>
                            </m:sSubSupPr>
                            <m:e>
                              <m:r>
                                <m:rPr/>
                                <w:rPr>
                                  <w:rFonts w:ascii="Cambria Math" w:hAnsi="Cambria Math"/>
                                  <w:sz w:val="20"/>
                                  <w:szCs w:val="20"/>
                                </w:rPr>
                                <m:t>y</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ctrlPr>
                                <w:rPr>
                                  <w:rFonts w:ascii="Cambria Math" w:hAnsi="Cambria Math"/>
                                  <w:sz w:val="20"/>
                                  <w:szCs w:val="20"/>
                                </w:rPr>
                              </m:ctrlPr>
                            </m:sub>
                            <m:sup>
                              <m:d>
                                <m:dPr>
                                  <m:ctrlPr>
                                    <w:rPr>
                                      <w:rFonts w:ascii="Cambria Math" w:hAnsi="Cambria Math"/>
                                      <w:sz w:val="20"/>
                                      <w:szCs w:val="20"/>
                                    </w:rPr>
                                  </m:ctrlPr>
                                </m:dPr>
                                <m:e>
                                  <m:r>
                                    <m:rPr>
                                      <m:sty m:val="p"/>
                                    </m:rPr>
                                    <w:rPr>
                                      <w:rFonts w:ascii="Cambria Math" w:hAnsi="Cambria Math"/>
                                      <w:sz w:val="20"/>
                                      <w:szCs w:val="20"/>
                                    </w:rPr>
                                    <m:t>3000+</m:t>
                                  </m:r>
                                  <m:r>
                                    <m:rPr/>
                                    <w:rPr>
                                      <w:rFonts w:ascii="Cambria Math" w:hAnsi="Cambria Math"/>
                                      <w:sz w:val="20"/>
                                      <w:szCs w:val="20"/>
                                    </w:rPr>
                                    <m:t>P</m:t>
                                  </m:r>
                                  <m:r>
                                    <m:rPr>
                                      <m:sty m:val="p"/>
                                    </m:rPr>
                                    <w:rPr>
                                      <w:rFonts w:ascii="Cambria Math" w:hAnsi="Cambria Math"/>
                                      <w:sz w:val="20"/>
                                      <w:szCs w:val="20"/>
                                    </w:rPr>
                                    <m:t>−1</m:t>
                                  </m:r>
                                  <m:ctrlPr>
                                    <w:rPr>
                                      <w:rFonts w:ascii="Cambria Math" w:hAnsi="Cambria Math"/>
                                      <w:sz w:val="20"/>
                                      <w:szCs w:val="20"/>
                                    </w:rPr>
                                  </m:ctrlPr>
                                </m:e>
                              </m:d>
                              <m:ctrlPr>
                                <w:rPr>
                                  <w:rFonts w:ascii="Cambria Math" w:hAnsi="Cambria Math"/>
                                  <w:sz w:val="20"/>
                                  <w:szCs w:val="20"/>
                                </w:rPr>
                              </m:ctrlPr>
                            </m:sup>
                          </m:sSubSup>
                          <m:r>
                            <m:rPr>
                              <m:sty m:val="p"/>
                            </m:rPr>
                            <w:rPr>
                              <w:rFonts w:ascii="Cambria Math" w:hAnsi="Cambria Math"/>
                              <w:sz w:val="20"/>
                              <w:szCs w:val="20"/>
                            </w:rPr>
                            <m:t>(</m:t>
                          </m:r>
                          <m:r>
                            <m:rPr/>
                            <w:rPr>
                              <w:rFonts w:ascii="Cambria Math" w:hAnsi="Cambria Math"/>
                              <w:sz w:val="20"/>
                              <w:szCs w:val="20"/>
                            </w:rPr>
                            <m:t>k,l</m:t>
                          </m:r>
                          <m:r>
                            <m:rPr>
                              <m:sty m:val="p"/>
                            </m:rPr>
                            <w:rPr>
                              <w:rFonts w:ascii="Cambria Math" w:hAnsi="Cambria Math"/>
                              <w:sz w:val="20"/>
                              <w:szCs w:val="20"/>
                            </w:rPr>
                            <m:t>)</m:t>
                          </m:r>
                          <m:ctrlPr>
                            <w:rPr>
                              <w:rFonts w:ascii="Cambria Math" w:hAnsi="Cambria Math" w:eastAsia="Cambria Math"/>
                              <w:sz w:val="20"/>
                              <w:szCs w:val="20"/>
                            </w:rPr>
                          </m:ctrlPr>
                        </m:e>
                      </m:mr>
                      <m:mr>
                        <m:e>
                          <m:r>
                            <m:rPr>
                              <m:sty m:val="p"/>
                            </m:rPr>
                            <w:rPr>
                              <w:rFonts w:ascii="Cambria Math" w:hAnsi="Cambria Math"/>
                              <w:sz w:val="20"/>
                              <w:szCs w:val="20"/>
                            </w:rPr>
                            <m:t>⋮</m:t>
                          </m:r>
                          <m:ctrlPr>
                            <w:rPr>
                              <w:rFonts w:ascii="Cambria Math" w:hAnsi="Cambria Math"/>
                              <w:sz w:val="20"/>
                              <w:szCs w:val="20"/>
                            </w:rPr>
                          </m:ctrlPr>
                        </m:e>
                      </m:mr>
                      <m:mr>
                        <m:e>
                          <m:eqArr>
                            <m:eqArrPr>
                              <m:ctrlPr>
                                <w:rPr>
                                  <w:rFonts w:ascii="Cambria Math" w:hAnsi="Cambria Math"/>
                                  <w:sz w:val="20"/>
                                  <w:szCs w:val="20"/>
                                </w:rPr>
                              </m:ctrlPr>
                            </m:eqArrPr>
                            <m:e>
                              <m:sSubSup>
                                <m:sSubSupPr>
                                  <m:ctrlPr>
                                    <w:rPr>
                                      <w:rFonts w:ascii="Cambria Math" w:hAnsi="Cambria Math"/>
                                      <w:sz w:val="20"/>
                                      <w:szCs w:val="20"/>
                                    </w:rPr>
                                  </m:ctrlPr>
                                </m:sSubSupPr>
                                <m:e>
                                  <m:r>
                                    <m:rPr/>
                                    <w:rPr>
                                      <w:rFonts w:ascii="Cambria Math" w:hAnsi="Cambria Math"/>
                                      <w:sz w:val="20"/>
                                      <w:szCs w:val="20"/>
                                    </w:rPr>
                                    <m:t>y</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ctrlPr>
                                        <w:rPr>
                                          <w:rFonts w:ascii="Cambria Math" w:hAnsi="Cambria Math"/>
                                          <w:sz w:val="20"/>
                                          <w:szCs w:val="20"/>
                                        </w:rPr>
                                      </m:ctrlPr>
                                    </m:sub>
                                  </m:sSub>
                                  <m:ctrlPr>
                                    <w:rPr>
                                      <w:rFonts w:ascii="Cambria Math" w:hAnsi="Cambria Math"/>
                                      <w:sz w:val="20"/>
                                      <w:szCs w:val="20"/>
                                    </w:rPr>
                                  </m:ctrlPr>
                                </m:sub>
                                <m:sup>
                                  <m:d>
                                    <m:dPr>
                                      <m:ctrlPr>
                                        <w:rPr>
                                          <w:rFonts w:ascii="Cambria Math" w:hAnsi="Cambria Math"/>
                                          <w:sz w:val="20"/>
                                          <w:szCs w:val="20"/>
                                        </w:rPr>
                                      </m:ctrlPr>
                                    </m:dPr>
                                    <m:e>
                                      <m:r>
                                        <m:rPr>
                                          <m:sty m:val="p"/>
                                        </m:rPr>
                                        <w:rPr>
                                          <w:rFonts w:ascii="Cambria Math" w:hAnsi="Cambria Math"/>
                                          <w:sz w:val="20"/>
                                          <w:szCs w:val="20"/>
                                        </w:rPr>
                                        <m:t>3000</m:t>
                                      </m:r>
                                      <m:ctrlPr>
                                        <w:rPr>
                                          <w:rFonts w:ascii="Cambria Math" w:hAnsi="Cambria Math"/>
                                          <w:sz w:val="20"/>
                                          <w:szCs w:val="20"/>
                                        </w:rPr>
                                      </m:ctrlPr>
                                    </m:e>
                                  </m:d>
                                  <m:ctrlPr>
                                    <w:rPr>
                                      <w:rFonts w:ascii="Cambria Math" w:hAnsi="Cambria Math"/>
                                      <w:sz w:val="20"/>
                                      <w:szCs w:val="20"/>
                                    </w:rPr>
                                  </m:ctrlPr>
                                </m:sup>
                              </m:sSubSup>
                              <m:r>
                                <m:rPr>
                                  <m:sty m:val="p"/>
                                </m:rPr>
                                <w:rPr>
                                  <w:rFonts w:ascii="Cambria Math" w:hAnsi="Cambria Math"/>
                                  <w:sz w:val="20"/>
                                  <w:szCs w:val="20"/>
                                </w:rPr>
                                <m:t>(</m:t>
                              </m:r>
                              <m:r>
                                <m:rPr/>
                                <w:rPr>
                                  <w:rFonts w:ascii="Cambria Math" w:hAnsi="Cambria Math"/>
                                  <w:sz w:val="20"/>
                                  <w:szCs w:val="20"/>
                                </w:rPr>
                                <m:t>k,l</m:t>
                              </m:r>
                              <m:r>
                                <m:rPr>
                                  <m:sty m:val="p"/>
                                </m:rPr>
                                <w:rPr>
                                  <w:rFonts w:ascii="Cambria Math" w:hAnsi="Cambria Math"/>
                                  <w:sz w:val="20"/>
                                  <w:szCs w:val="20"/>
                                </w:rPr>
                                <m:t>)</m:t>
                              </m:r>
                              <m:ctrlPr>
                                <w:rPr>
                                  <w:rFonts w:ascii="Cambria Math" w:hAnsi="Cambria Math"/>
                                  <w:sz w:val="20"/>
                                  <w:szCs w:val="20"/>
                                </w:rPr>
                              </m:ctrlPr>
                            </m:e>
                            <m:e>
                              <m:r>
                                <m:rPr>
                                  <m:sty m:val="p"/>
                                </m:rPr>
                                <w:rPr>
                                  <w:rFonts w:ascii="Cambria Math" w:hAnsi="Cambria Math"/>
                                  <w:sz w:val="20"/>
                                  <w:szCs w:val="20"/>
                                </w:rPr>
                                <m:t>⋮</m:t>
                              </m:r>
                              <m:ctrlPr>
                                <w:rPr>
                                  <w:rFonts w:ascii="Cambria Math" w:hAnsi="Cambria Math" w:eastAsia="Cambria Math"/>
                                  <w:sz w:val="20"/>
                                  <w:szCs w:val="20"/>
                                </w:rPr>
                              </m:ctrlPr>
                            </m:e>
                            <m:e>
                              <m:sSubSup>
                                <m:sSubSupPr>
                                  <m:ctrlPr>
                                    <w:rPr>
                                      <w:rFonts w:ascii="Cambria Math" w:hAnsi="Cambria Math"/>
                                      <w:sz w:val="20"/>
                                      <w:szCs w:val="20"/>
                                    </w:rPr>
                                  </m:ctrlPr>
                                </m:sSubSupPr>
                                <m:e>
                                  <m:r>
                                    <m:rPr/>
                                    <w:rPr>
                                      <w:rFonts w:ascii="Cambria Math" w:hAnsi="Cambria Math"/>
                                      <w:sz w:val="20"/>
                                      <w:szCs w:val="20"/>
                                    </w:rPr>
                                    <m:t>y</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ctrlPr>
                                        <w:rPr>
                                          <w:rFonts w:ascii="Cambria Math" w:hAnsi="Cambria Math"/>
                                          <w:sz w:val="20"/>
                                          <w:szCs w:val="20"/>
                                        </w:rPr>
                                      </m:ctrlPr>
                                    </m:sub>
                                  </m:sSub>
                                  <m:ctrlPr>
                                    <w:rPr>
                                      <w:rFonts w:ascii="Cambria Math" w:hAnsi="Cambria Math"/>
                                      <w:sz w:val="20"/>
                                      <w:szCs w:val="20"/>
                                    </w:rPr>
                                  </m:ctrlPr>
                                </m:sub>
                                <m:sup>
                                  <m:d>
                                    <m:dPr>
                                      <m:ctrlPr>
                                        <w:rPr>
                                          <w:rFonts w:ascii="Cambria Math" w:hAnsi="Cambria Math"/>
                                          <w:sz w:val="20"/>
                                          <w:szCs w:val="20"/>
                                        </w:rPr>
                                      </m:ctrlPr>
                                    </m:dPr>
                                    <m:e>
                                      <m:r>
                                        <m:rPr>
                                          <m:sty m:val="p"/>
                                        </m:rPr>
                                        <w:rPr>
                                          <w:rFonts w:ascii="Cambria Math" w:hAnsi="Cambria Math"/>
                                          <w:sz w:val="20"/>
                                          <w:szCs w:val="20"/>
                                        </w:rPr>
                                        <m:t>3000+</m:t>
                                      </m:r>
                                      <m:r>
                                        <m:rPr/>
                                        <w:rPr>
                                          <w:rFonts w:ascii="Cambria Math" w:hAnsi="Cambria Math"/>
                                          <w:sz w:val="20"/>
                                          <w:szCs w:val="20"/>
                                        </w:rPr>
                                        <m:t>P</m:t>
                                      </m:r>
                                      <m:r>
                                        <m:rPr>
                                          <m:sty m:val="p"/>
                                        </m:rPr>
                                        <w:rPr>
                                          <w:rFonts w:ascii="Cambria Math" w:hAnsi="Cambria Math"/>
                                          <w:sz w:val="20"/>
                                          <w:szCs w:val="20"/>
                                        </w:rPr>
                                        <m:t>−1</m:t>
                                      </m:r>
                                      <m:ctrlPr>
                                        <w:rPr>
                                          <w:rFonts w:ascii="Cambria Math" w:hAnsi="Cambria Math"/>
                                          <w:sz w:val="20"/>
                                          <w:szCs w:val="20"/>
                                        </w:rPr>
                                      </m:ctrlPr>
                                    </m:e>
                                  </m:d>
                                  <m:ctrlPr>
                                    <w:rPr>
                                      <w:rFonts w:ascii="Cambria Math" w:hAnsi="Cambria Math"/>
                                      <w:sz w:val="20"/>
                                      <w:szCs w:val="20"/>
                                    </w:rPr>
                                  </m:ctrlPr>
                                </m:sup>
                              </m:sSubSup>
                              <m:r>
                                <m:rPr>
                                  <m:sty m:val="p"/>
                                </m:rPr>
                                <w:rPr>
                                  <w:rFonts w:ascii="Cambria Math" w:hAnsi="Cambria Math"/>
                                  <w:sz w:val="20"/>
                                  <w:szCs w:val="20"/>
                                </w:rPr>
                                <m:t>(</m:t>
                              </m:r>
                              <m:r>
                                <m:rPr/>
                                <w:rPr>
                                  <w:rFonts w:ascii="Cambria Math" w:hAnsi="Cambria Math"/>
                                  <w:sz w:val="20"/>
                                  <w:szCs w:val="20"/>
                                </w:rPr>
                                <m:t>k,l</m:t>
                              </m:r>
                              <m:r>
                                <m:rPr>
                                  <m:sty m:val="p"/>
                                </m:rPr>
                                <w:rPr>
                                  <w:rFonts w:ascii="Cambria Math" w:hAnsi="Cambria Math"/>
                                  <w:sz w:val="20"/>
                                  <w:szCs w:val="20"/>
                                </w:rPr>
                                <m:t>)</m:t>
                              </m:r>
                              <m:ctrlPr>
                                <w:rPr>
                                  <w:rFonts w:ascii="Cambria Math" w:hAnsi="Cambria Math"/>
                                  <w:sz w:val="20"/>
                                  <w:szCs w:val="20"/>
                                </w:rPr>
                              </m:ctrlPr>
                            </m:e>
                          </m:eqArr>
                          <m:ctrlPr>
                            <w:rPr>
                              <w:rFonts w:ascii="Cambria Math" w:hAnsi="Cambria Math"/>
                              <w:sz w:val="20"/>
                              <w:szCs w:val="20"/>
                            </w:rPr>
                          </m:ctrlPr>
                        </m:e>
                      </m:mr>
                    </m:m>
                    <m:ctrlPr>
                      <w:rPr>
                        <w:rFonts w:ascii="Cambria Math" w:hAnsi="Cambria Math"/>
                        <w:sz w:val="20"/>
                        <w:szCs w:val="20"/>
                      </w:rPr>
                    </m:ctrlPr>
                  </m:e>
                </m:mr>
              </m:m>
              <m:ctrlPr>
                <w:rPr>
                  <w:rFonts w:ascii="Cambria Math" w:hAnsi="Cambria Math"/>
                  <w:sz w:val="20"/>
                  <w:szCs w:val="20"/>
                </w:rPr>
              </m:ctrlPr>
            </m:e>
          </m:d>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sSup>
                          <m:sSupPr>
                            <m:ctrlPr>
                              <w:rPr>
                                <w:rFonts w:ascii="Cambria Math" w:hAnsi="Cambria Math"/>
                                <w:i/>
                                <w:sz w:val="20"/>
                                <w:szCs w:val="20"/>
                              </w:rPr>
                            </m:ctrlPr>
                          </m:sSupPr>
                          <m:e>
                            <m:r>
                              <m:rPr/>
                              <w:rPr>
                                <w:rFonts w:ascii="Cambria Math" w:hAnsi="Cambria Math"/>
                                <w:sz w:val="20"/>
                                <w:szCs w:val="20"/>
                              </w:rPr>
                              <m:t>e</m:t>
                            </m:r>
                            <m:ctrlPr>
                              <w:rPr>
                                <w:rFonts w:ascii="Cambria Math" w:hAnsi="Cambria Math"/>
                                <w:i/>
                                <w:sz w:val="20"/>
                                <w:szCs w:val="20"/>
                              </w:rPr>
                            </m:ctrlPr>
                          </m:e>
                          <m:sup>
                            <m:r>
                              <m:rPr/>
                              <w:rPr>
                                <w:rFonts w:ascii="Cambria Math" w:hAnsi="Cambria Math"/>
                                <w:sz w:val="20"/>
                                <w:szCs w:val="20"/>
                              </w:rPr>
                              <m:t>−j2π(l−</m:t>
                            </m:r>
                            <m:sSub>
                              <m:sSubPr>
                                <m:ctrlPr>
                                  <w:rPr>
                                    <w:rFonts w:ascii="Cambria Math" w:hAnsi="Cambria Math"/>
                                    <w:i/>
                                    <w:sz w:val="20"/>
                                    <w:szCs w:val="20"/>
                                  </w:rPr>
                                </m:ctrlPr>
                              </m:sSubPr>
                              <m:e>
                                <m:r>
                                  <m:rPr/>
                                  <w:rPr>
                                    <w:rFonts w:ascii="Cambria Math" w:hAnsi="Cambria Math"/>
                                    <w:sz w:val="20"/>
                                    <w:szCs w:val="20"/>
                                  </w:rPr>
                                  <m:t>l</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r>
                              <m:rPr/>
                              <w:rPr>
                                <w:rFonts w:ascii="Cambria Math" w:hAnsi="Cambria Math"/>
                                <w:sz w:val="20"/>
                                <w:szCs w:val="20"/>
                              </w:rPr>
                              <m:t>)∆t</m:t>
                            </m:r>
                            <m:sSub>
                              <m:sSubPr>
                                <m:ctrlPr>
                                  <w:rPr>
                                    <w:rFonts w:ascii="Cambria Math" w:hAnsi="Cambria Math"/>
                                    <w:i/>
                                    <w:sz w:val="20"/>
                                    <w:szCs w:val="20"/>
                                  </w:rPr>
                                </m:ctrlPr>
                              </m:sSubPr>
                              <m:e>
                                <m:r>
                                  <m:rPr/>
                                  <w:rPr>
                                    <w:rFonts w:ascii="Cambria Math" w:hAnsi="Cambria Math"/>
                                    <w:sz w:val="20"/>
                                    <w:szCs w:val="20"/>
                                  </w:rPr>
                                  <m:t>∆f</m:t>
                                </m:r>
                                <m:ctrlPr>
                                  <w:rPr>
                                    <w:rFonts w:ascii="Cambria Math" w:hAnsi="Cambria Math"/>
                                    <w:i/>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ctrlPr>
                                  <w:rPr>
                                    <w:rFonts w:ascii="Cambria Math" w:hAnsi="Cambria Math"/>
                                    <w:i/>
                                    <w:sz w:val="20"/>
                                    <w:szCs w:val="20"/>
                                  </w:rPr>
                                </m:ctrlPr>
                              </m:sub>
                            </m:sSub>
                            <m:ctrlPr>
                              <w:rPr>
                                <w:rFonts w:ascii="Cambria Math" w:hAnsi="Cambria Math"/>
                                <w:i/>
                                <w:sz w:val="20"/>
                                <w:szCs w:val="20"/>
                              </w:rPr>
                            </m:ctrlPr>
                          </m:sup>
                        </m:sSup>
                        <m:r>
                          <m:rPr/>
                          <w:rPr>
                            <w:rFonts w:ascii="Cambria Math" w:hAnsi="Cambria Math"/>
                            <w:sz w:val="20"/>
                            <w:szCs w:val="20"/>
                          </w:rPr>
                          <m:t>W</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ctrlPr>
                          <w:rPr>
                            <w:rFonts w:ascii="Cambria Math" w:hAnsi="Cambria Math"/>
                            <w:sz w:val="20"/>
                            <w:szCs w:val="20"/>
                          </w:rPr>
                        </m:ctrlPr>
                      </m:sub>
                    </m:sSub>
                    <m:ctrlPr>
                      <w:rPr>
                        <w:rFonts w:ascii="Cambria Math" w:hAnsi="Cambria Math"/>
                        <w:sz w:val="20"/>
                        <w:szCs w:val="20"/>
                      </w:rPr>
                    </m:ctrlPr>
                  </m:e>
                </m:mr>
                <m:mr>
                  <m:e>
                    <m:sSup>
                      <m:sSupPr>
                        <m:ctrlPr>
                          <w:rPr>
                            <w:rFonts w:ascii="Cambria Math" w:hAnsi="Cambria Math"/>
                            <w:i/>
                            <w:sz w:val="20"/>
                            <w:szCs w:val="20"/>
                          </w:rPr>
                        </m:ctrlPr>
                      </m:sSupPr>
                      <m:e>
                        <m:r>
                          <m:rPr/>
                          <w:rPr>
                            <w:rFonts w:ascii="Cambria Math" w:hAnsi="Cambria Math"/>
                            <w:sz w:val="20"/>
                            <w:szCs w:val="20"/>
                          </w:rPr>
                          <m:t>e</m:t>
                        </m:r>
                        <m:ctrlPr>
                          <w:rPr>
                            <w:rFonts w:ascii="Cambria Math" w:hAnsi="Cambria Math"/>
                            <w:i/>
                            <w:sz w:val="20"/>
                            <w:szCs w:val="20"/>
                          </w:rPr>
                        </m:ctrlPr>
                      </m:e>
                      <m:sup>
                        <m:r>
                          <m:rPr/>
                          <w:rPr>
                            <w:rFonts w:ascii="Cambria Math" w:hAnsi="Cambria Math"/>
                            <w:sz w:val="20"/>
                            <w:szCs w:val="20"/>
                          </w:rPr>
                          <m:t>−j2π(l−</m:t>
                        </m:r>
                        <m:sSub>
                          <m:sSubPr>
                            <m:ctrlPr>
                              <w:rPr>
                                <w:rFonts w:ascii="Cambria Math" w:hAnsi="Cambria Math"/>
                                <w:i/>
                                <w:sz w:val="20"/>
                                <w:szCs w:val="20"/>
                              </w:rPr>
                            </m:ctrlPr>
                          </m:sSubPr>
                          <m:e>
                            <m:r>
                              <m:rPr/>
                              <w:rPr>
                                <w:rFonts w:ascii="Cambria Math" w:hAnsi="Cambria Math"/>
                                <w:sz w:val="20"/>
                                <w:szCs w:val="20"/>
                              </w:rPr>
                              <m:t>l</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r>
                          <m:rPr/>
                          <w:rPr>
                            <w:rFonts w:ascii="Cambria Math" w:hAnsi="Cambria Math"/>
                            <w:sz w:val="20"/>
                            <w:szCs w:val="20"/>
                          </w:rPr>
                          <m:t>)∆t</m:t>
                        </m:r>
                        <m:sSub>
                          <m:sSubPr>
                            <m:ctrlPr>
                              <w:rPr>
                                <w:rFonts w:ascii="Cambria Math" w:hAnsi="Cambria Math"/>
                                <w:i/>
                                <w:sz w:val="20"/>
                                <w:szCs w:val="20"/>
                              </w:rPr>
                            </m:ctrlPr>
                          </m:sSubPr>
                          <m:e>
                            <m:r>
                              <m:rPr/>
                              <w:rPr>
                                <w:rFonts w:ascii="Cambria Math" w:hAnsi="Cambria Math"/>
                                <w:sz w:val="20"/>
                                <w:szCs w:val="20"/>
                              </w:rPr>
                              <m:t>∆f</m:t>
                            </m:r>
                            <m:ctrlPr>
                              <w:rPr>
                                <w:rFonts w:ascii="Cambria Math" w:hAnsi="Cambria Math"/>
                                <w:i/>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ctrlPr>
                              <w:rPr>
                                <w:rFonts w:ascii="Cambria Math" w:hAnsi="Cambria Math"/>
                                <w:i/>
                                <w:sz w:val="20"/>
                                <w:szCs w:val="20"/>
                              </w:rPr>
                            </m:ctrlPr>
                          </m:sub>
                        </m:sSub>
                        <m:ctrlPr>
                          <w:rPr>
                            <w:rFonts w:ascii="Cambria Math" w:hAnsi="Cambria Math"/>
                            <w:i/>
                            <w:sz w:val="20"/>
                            <w:szCs w:val="20"/>
                          </w:rPr>
                        </m:ctrlPr>
                      </m:sup>
                    </m:sSup>
                    <m:sSub>
                      <m:sSubPr>
                        <m:ctrlPr>
                          <w:rPr>
                            <w:rFonts w:ascii="Cambria Math" w:hAnsi="Cambria Math"/>
                            <w:sz w:val="20"/>
                            <w:szCs w:val="20"/>
                          </w:rPr>
                        </m:ctrlPr>
                      </m:sSubPr>
                      <m:e>
                        <m:r>
                          <m:rPr/>
                          <w:rPr>
                            <w:rFonts w:ascii="Cambria Math" w:hAnsi="Cambria Math"/>
                            <w:sz w:val="20"/>
                            <w:szCs w:val="20"/>
                          </w:rPr>
                          <m:t>W</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ctrlPr>
                          <w:rPr>
                            <w:rFonts w:ascii="Cambria Math" w:hAnsi="Cambria Math"/>
                            <w:sz w:val="20"/>
                            <w:szCs w:val="20"/>
                          </w:rPr>
                        </m:ctrlPr>
                      </m:sub>
                    </m:sSub>
                    <m:ctrlPr>
                      <w:rPr>
                        <w:rFonts w:ascii="Cambria Math" w:hAnsi="Cambria Math"/>
                        <w:sz w:val="20"/>
                        <w:szCs w:val="20"/>
                      </w:rPr>
                    </m:ctrlPr>
                  </m:e>
                </m:mr>
                <m:mr>
                  <m:e>
                    <m:sSup>
                      <m:sSupPr>
                        <m:ctrlPr>
                          <w:rPr>
                            <w:rFonts w:ascii="Cambria Math" w:hAnsi="Cambria Math"/>
                            <w:i/>
                            <w:sz w:val="20"/>
                            <w:szCs w:val="20"/>
                          </w:rPr>
                        </m:ctrlPr>
                      </m:sSupPr>
                      <m:e>
                        <m:r>
                          <m:rPr/>
                          <w:rPr>
                            <w:rFonts w:ascii="Cambria Math" w:hAnsi="Cambria Math"/>
                            <w:sz w:val="20"/>
                            <w:szCs w:val="20"/>
                          </w:rPr>
                          <m:t>e</m:t>
                        </m:r>
                        <m:ctrlPr>
                          <w:rPr>
                            <w:rFonts w:ascii="Cambria Math" w:hAnsi="Cambria Math"/>
                            <w:i/>
                            <w:sz w:val="20"/>
                            <w:szCs w:val="20"/>
                          </w:rPr>
                        </m:ctrlPr>
                      </m:e>
                      <m:sup>
                        <m:r>
                          <m:rPr/>
                          <w:rPr>
                            <w:rFonts w:ascii="Cambria Math" w:hAnsi="Cambria Math"/>
                            <w:sz w:val="20"/>
                            <w:szCs w:val="20"/>
                          </w:rPr>
                          <m:t>−j2π(l−</m:t>
                        </m:r>
                        <m:sSub>
                          <m:sSubPr>
                            <m:ctrlPr>
                              <w:rPr>
                                <w:rFonts w:ascii="Cambria Math" w:hAnsi="Cambria Math"/>
                                <w:i/>
                                <w:sz w:val="20"/>
                                <w:szCs w:val="20"/>
                              </w:rPr>
                            </m:ctrlPr>
                          </m:sSubPr>
                          <m:e>
                            <m:r>
                              <m:rPr/>
                              <w:rPr>
                                <w:rFonts w:ascii="Cambria Math" w:hAnsi="Cambria Math"/>
                                <w:sz w:val="20"/>
                                <w:szCs w:val="20"/>
                              </w:rPr>
                              <m:t>l</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r>
                          <m:rPr/>
                          <w:rPr>
                            <w:rFonts w:ascii="Cambria Math" w:hAnsi="Cambria Math"/>
                            <w:sz w:val="20"/>
                            <w:szCs w:val="20"/>
                          </w:rPr>
                          <m:t>)∆t</m:t>
                        </m:r>
                        <m:sSub>
                          <m:sSubPr>
                            <m:ctrlPr>
                              <w:rPr>
                                <w:rFonts w:ascii="Cambria Math" w:hAnsi="Cambria Math"/>
                                <w:i/>
                                <w:sz w:val="20"/>
                                <w:szCs w:val="20"/>
                              </w:rPr>
                            </m:ctrlPr>
                          </m:sSubPr>
                          <m:e>
                            <m:r>
                              <m:rPr/>
                              <w:rPr>
                                <w:rFonts w:ascii="Cambria Math" w:hAnsi="Cambria Math"/>
                                <w:sz w:val="20"/>
                                <w:szCs w:val="20"/>
                              </w:rPr>
                              <m:t>∆f</m:t>
                            </m:r>
                            <m:ctrlPr>
                              <w:rPr>
                                <w:rFonts w:ascii="Cambria Math" w:hAnsi="Cambria Math"/>
                                <w:i/>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ctrlPr>
                                  <w:rPr>
                                    <w:rFonts w:ascii="Cambria Math" w:hAnsi="Cambria Math"/>
                                    <w:sz w:val="20"/>
                                    <w:szCs w:val="20"/>
                                  </w:rPr>
                                </m:ctrlPr>
                              </m:sub>
                            </m:sSub>
                            <m:ctrlPr>
                              <w:rPr>
                                <w:rFonts w:ascii="Cambria Math" w:hAnsi="Cambria Math"/>
                                <w:i/>
                                <w:sz w:val="20"/>
                                <w:szCs w:val="20"/>
                              </w:rPr>
                            </m:ctrlPr>
                          </m:sub>
                        </m:sSub>
                        <m:ctrlPr>
                          <w:rPr>
                            <w:rFonts w:ascii="Cambria Math" w:hAnsi="Cambria Math"/>
                            <w:i/>
                            <w:sz w:val="20"/>
                            <w:szCs w:val="20"/>
                          </w:rPr>
                        </m:ctrlPr>
                      </m:sup>
                    </m:sSup>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m:t>
                          </m:r>
                          <m:ctrlPr>
                            <w:rPr>
                              <w:rFonts w:ascii="Cambria Math" w:hAnsi="Cambria Math"/>
                              <w:sz w:val="20"/>
                              <w:szCs w:val="20"/>
                            </w:rPr>
                          </m:ctrlPr>
                        </m:e>
                      </m:mr>
                      <m:mr>
                        <m:e>
                          <m:sSub>
                            <m:sSubPr>
                              <m:ctrlPr>
                                <w:rPr>
                                  <w:rFonts w:ascii="Cambria Math" w:hAnsi="Cambria Math"/>
                                  <w:sz w:val="20"/>
                                  <w:szCs w:val="20"/>
                                </w:rPr>
                              </m:ctrlPr>
                            </m:sSubPr>
                            <m:e>
                              <m:r>
                                <m:rPr/>
                                <w:rPr>
                                  <w:rFonts w:ascii="Cambria Math" w:hAnsi="Cambria Math"/>
                                  <w:sz w:val="20"/>
                                  <w:szCs w:val="20"/>
                                </w:rPr>
                                <m:t>W</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ctrlPr>
                                    <w:rPr>
                                      <w:rFonts w:ascii="Cambria Math" w:hAnsi="Cambria Math"/>
                                      <w:sz w:val="20"/>
                                      <w:szCs w:val="20"/>
                                    </w:rPr>
                                  </m:ctrlPr>
                                </m:sub>
                              </m:sSub>
                              <m:ctrlPr>
                                <w:rPr>
                                  <w:rFonts w:ascii="Cambria Math" w:hAnsi="Cambria Math"/>
                                  <w:sz w:val="20"/>
                                  <w:szCs w:val="20"/>
                                </w:rPr>
                              </m:ctrlPr>
                            </m:sub>
                          </m:sSub>
                          <m:ctrlPr>
                            <w:rPr>
                              <w:rFonts w:ascii="Cambria Math" w:hAnsi="Cambria Math"/>
                              <w:sz w:val="20"/>
                              <w:szCs w:val="20"/>
                            </w:rPr>
                          </m:ctrlPr>
                        </m:e>
                      </m:mr>
                    </m:m>
                    <m:ctrlPr>
                      <w:rPr>
                        <w:rFonts w:ascii="Cambria Math" w:hAnsi="Cambria Math"/>
                        <w:sz w:val="20"/>
                        <w:szCs w:val="20"/>
                      </w:rPr>
                    </m:ctrlPr>
                  </m:e>
                </m:mr>
              </m:m>
              <m:ctrlPr>
                <w:rPr>
                  <w:rFonts w:ascii="Cambria Math" w:hAnsi="Cambria Math"/>
                  <w:sz w:val="20"/>
                  <w:szCs w:val="20"/>
                </w:rPr>
              </m:ctrlPr>
            </m:e>
          </m:d>
          <m:d>
            <m:dPr>
              <m:begChr m:val="["/>
              <m:endChr m:val="]"/>
              <m:ctrlPr>
                <w:rPr>
                  <w:rFonts w:ascii="Cambria Math" w:hAnsi="Cambria Math"/>
                  <w:sz w:val="20"/>
                  <w:szCs w:val="20"/>
                </w:rPr>
              </m:ctrlPr>
            </m:dPr>
            <m:e>
              <m:eqArr>
                <m:eqArrPr>
                  <m:ctrlPr>
                    <w:rPr>
                      <w:rFonts w:ascii="Cambria Math" w:hAnsi="Cambria Math"/>
                      <w:sz w:val="20"/>
                      <w:szCs w:val="20"/>
                    </w:rPr>
                  </m:ctrlPr>
                </m:eqArrPr>
                <m:e>
                  <m:sSup>
                    <m:sSupPr>
                      <m:ctrlPr>
                        <w:rPr>
                          <w:rFonts w:ascii="Cambria Math" w:hAnsi="Cambria Math"/>
                          <w:sz w:val="20"/>
                          <w:szCs w:val="20"/>
                        </w:rPr>
                      </m:ctrlPr>
                    </m:sSupPr>
                    <m:e>
                      <m:r>
                        <m:rPr/>
                        <w:rPr>
                          <w:rFonts w:ascii="Cambria Math" w:hAnsi="Cambria Math"/>
                          <w:sz w:val="20"/>
                          <w:szCs w:val="20"/>
                        </w:rPr>
                        <m:t>x</m:t>
                      </m:r>
                      <m:ctrlPr>
                        <w:rPr>
                          <w:rFonts w:ascii="Cambria Math" w:hAnsi="Cambria Math"/>
                          <w:sz w:val="20"/>
                          <w:szCs w:val="20"/>
                        </w:rPr>
                      </m:ctrlPr>
                    </m:e>
                    <m:sup>
                      <m:d>
                        <m:dPr>
                          <m:ctrlPr>
                            <w:rPr>
                              <w:rFonts w:ascii="Cambria Math" w:hAnsi="Cambria Math"/>
                              <w:sz w:val="20"/>
                              <w:szCs w:val="20"/>
                            </w:rPr>
                          </m:ctrlPr>
                        </m:dPr>
                        <m:e>
                          <m:r>
                            <m:rPr>
                              <m:sty m:val="p"/>
                            </m:rPr>
                            <w:rPr>
                              <w:rFonts w:ascii="Cambria Math" w:hAnsi="Cambria Math"/>
                              <w:sz w:val="20"/>
                              <w:szCs w:val="20"/>
                            </w:rPr>
                            <m:t>0</m:t>
                          </m:r>
                          <m:ctrlPr>
                            <w:rPr>
                              <w:rFonts w:ascii="Cambria Math" w:hAnsi="Cambria Math"/>
                              <w:sz w:val="20"/>
                              <w:szCs w:val="20"/>
                            </w:rPr>
                          </m:ctrlPr>
                        </m:e>
                      </m:d>
                      <m:ctrlPr>
                        <w:rPr>
                          <w:rFonts w:ascii="Cambria Math" w:hAnsi="Cambria Math"/>
                          <w:sz w:val="20"/>
                          <w:szCs w:val="20"/>
                        </w:rPr>
                      </m:ctrlPr>
                    </m:sup>
                  </m:sSup>
                  <m:d>
                    <m:dPr>
                      <m:ctrlPr>
                        <w:rPr>
                          <w:rFonts w:ascii="Cambria Math" w:hAnsi="Cambria Math"/>
                          <w:sz w:val="20"/>
                          <w:szCs w:val="20"/>
                        </w:rPr>
                      </m:ctrlPr>
                    </m:dPr>
                    <m:e>
                      <m:r>
                        <m:rPr/>
                        <w:rPr>
                          <w:rFonts w:ascii="Cambria Math" w:hAnsi="Cambria Math"/>
                          <w:sz w:val="20"/>
                          <w:szCs w:val="20"/>
                        </w:rPr>
                        <m:t>k,l</m:t>
                      </m:r>
                      <m:ctrlPr>
                        <w:rPr>
                          <w:rFonts w:ascii="Cambria Math" w:hAnsi="Cambria Math"/>
                          <w:sz w:val="20"/>
                          <w:szCs w:val="20"/>
                        </w:rPr>
                      </m:ctrlPr>
                    </m:e>
                  </m:d>
                  <m:ctrlPr>
                    <w:rPr>
                      <w:rFonts w:ascii="Cambria Math" w:hAnsi="Cambria Math"/>
                      <w:sz w:val="20"/>
                      <w:szCs w:val="20"/>
                    </w:rPr>
                  </m:ctrlPr>
                </m:e>
                <m:e>
                  <m:r>
                    <m:rPr>
                      <m:sty m:val="p"/>
                    </m:rPr>
                    <w:rPr>
                      <w:rFonts w:ascii="Cambria Math" w:hAnsi="Cambria Math"/>
                      <w:sz w:val="20"/>
                      <w:szCs w:val="20"/>
                    </w:rPr>
                    <m:t>⋮</m:t>
                  </m:r>
                  <m:ctrlPr>
                    <w:rPr>
                      <w:rFonts w:ascii="Cambria Math" w:hAnsi="Cambria Math" w:eastAsia="Cambria Math"/>
                      <w:sz w:val="20"/>
                      <w:szCs w:val="20"/>
                    </w:rPr>
                  </m:ctrlPr>
                </m:e>
                <m:e>
                  <m:sSup>
                    <m:sSupPr>
                      <m:ctrlPr>
                        <w:rPr>
                          <w:rFonts w:ascii="Cambria Math" w:hAnsi="Cambria Math"/>
                          <w:sz w:val="20"/>
                          <w:szCs w:val="20"/>
                        </w:rPr>
                      </m:ctrlPr>
                    </m:sSupPr>
                    <m:e>
                      <m:r>
                        <m:rPr/>
                        <w:rPr>
                          <w:rFonts w:ascii="Cambria Math" w:hAnsi="Cambria Math"/>
                          <w:sz w:val="20"/>
                          <w:szCs w:val="20"/>
                        </w:rPr>
                        <m:t>x</m:t>
                      </m:r>
                      <m:ctrlPr>
                        <w:rPr>
                          <w:rFonts w:ascii="Cambria Math" w:hAnsi="Cambria Math"/>
                          <w:sz w:val="20"/>
                          <w:szCs w:val="20"/>
                        </w:rPr>
                      </m:ctrlPr>
                    </m:e>
                    <m:sup>
                      <m:d>
                        <m:dPr>
                          <m:ctrlPr>
                            <w:rPr>
                              <w:rFonts w:ascii="Cambria Math" w:hAnsi="Cambria Math"/>
                              <w:sz w:val="20"/>
                              <w:szCs w:val="20"/>
                            </w:rPr>
                          </m:ctrlPr>
                        </m:dPr>
                        <m:e>
                          <m:r>
                            <m:rPr/>
                            <w:rPr>
                              <w:rFonts w:ascii="Cambria Math" w:hAnsi="Cambria Math"/>
                              <w:sz w:val="20"/>
                              <w:szCs w:val="20"/>
                            </w:rPr>
                            <m:t>υ</m:t>
                          </m:r>
                          <m:r>
                            <m:rPr>
                              <m:sty m:val="p"/>
                            </m:rPr>
                            <w:rPr>
                              <w:rFonts w:ascii="Cambria Math" w:hAnsi="Cambria Math"/>
                              <w:sz w:val="20"/>
                              <w:szCs w:val="20"/>
                            </w:rPr>
                            <m:t>−1</m:t>
                          </m:r>
                          <m:ctrlPr>
                            <w:rPr>
                              <w:rFonts w:ascii="Cambria Math" w:hAnsi="Cambria Math"/>
                              <w:sz w:val="20"/>
                              <w:szCs w:val="20"/>
                            </w:rPr>
                          </m:ctrlPr>
                        </m:e>
                      </m:d>
                      <m:ctrlPr>
                        <w:rPr>
                          <w:rFonts w:ascii="Cambria Math" w:hAnsi="Cambria Math"/>
                          <w:sz w:val="20"/>
                          <w:szCs w:val="20"/>
                        </w:rPr>
                      </m:ctrlPr>
                    </m:sup>
                  </m:sSup>
                  <m:d>
                    <m:dPr>
                      <m:ctrlPr>
                        <w:rPr>
                          <w:rFonts w:ascii="Cambria Math" w:hAnsi="Cambria Math"/>
                          <w:sz w:val="20"/>
                          <w:szCs w:val="20"/>
                        </w:rPr>
                      </m:ctrlPr>
                    </m:dPr>
                    <m:e>
                      <m:r>
                        <m:rPr/>
                        <w:rPr>
                          <w:rFonts w:ascii="Cambria Math" w:hAnsi="Cambria Math"/>
                          <w:sz w:val="20"/>
                          <w:szCs w:val="20"/>
                        </w:rPr>
                        <m:t>k,l</m:t>
                      </m:r>
                      <m:ctrlPr>
                        <w:rPr>
                          <w:rFonts w:ascii="Cambria Math" w:hAnsi="Cambria Math"/>
                          <w:sz w:val="20"/>
                          <w:szCs w:val="20"/>
                        </w:rPr>
                      </m:ctrlPr>
                    </m:e>
                  </m:d>
                  <m:ctrlPr>
                    <w:rPr>
                      <w:rFonts w:ascii="Cambria Math" w:hAnsi="Cambria Math"/>
                      <w:sz w:val="20"/>
                      <w:szCs w:val="20"/>
                    </w:rPr>
                  </m:ctrlPr>
                </m:e>
              </m:eqArr>
              <m:ctrlPr>
                <w:rPr>
                  <w:rFonts w:ascii="Cambria Math" w:hAnsi="Cambria Math"/>
                  <w:sz w:val="20"/>
                  <w:szCs w:val="20"/>
                </w:rPr>
              </m:ctrlPr>
            </m:e>
          </m:d>
        </m:oMath>
      </m:oMathPara>
    </w:p>
    <w:p>
      <w:pPr>
        <w:pStyle w:val="112"/>
        <w:ind w:firstLine="0" w:firstLineChars="0"/>
        <w:rPr>
          <w:bCs/>
          <w:szCs w:val="20"/>
        </w:rPr>
      </w:pPr>
      <w:r>
        <w:rPr>
          <w:bCs/>
          <w:szCs w:val="20"/>
        </w:rPr>
        <w:t xml:space="preserve">In the above formulas, </w:t>
      </w:r>
      <m:oMath>
        <m:r>
          <m:rPr/>
          <w:rPr>
            <w:rFonts w:ascii="Cambria Math" w:hAnsi="Cambria Math"/>
            <w:szCs w:val="20"/>
          </w:rPr>
          <m:t>y</m:t>
        </m:r>
        <m:d>
          <m:dPr>
            <m:ctrlPr>
              <w:rPr>
                <w:rFonts w:ascii="Cambria Math" w:hAnsi="Cambria Math"/>
                <w:bCs/>
                <w:i/>
                <w:szCs w:val="20"/>
              </w:rPr>
            </m:ctrlPr>
          </m:dPr>
          <m:e>
            <m:r>
              <m:rPr/>
              <w:rPr>
                <w:rFonts w:ascii="Cambria Math" w:hAnsi="Cambria Math"/>
                <w:szCs w:val="20"/>
              </w:rPr>
              <m:t>k,l</m:t>
            </m:r>
            <m:ctrlPr>
              <w:rPr>
                <w:rFonts w:ascii="Cambria Math" w:hAnsi="Cambria Math"/>
                <w:bCs/>
                <w:i/>
                <w:szCs w:val="20"/>
              </w:rPr>
            </m:ctrlPr>
          </m:e>
        </m:d>
        <m:r>
          <m:rPr/>
          <w:rPr>
            <w:rFonts w:ascii="Cambria Math" w:hAnsi="Cambria Math"/>
            <w:szCs w:val="20"/>
          </w:rPr>
          <m:t>=</m:t>
        </m:r>
        <m:sSup>
          <m:sSupPr>
            <m:ctrlPr>
              <w:rPr>
                <w:rFonts w:ascii="Cambria Math" w:hAnsi="Cambria Math"/>
                <w:bCs/>
                <w:i/>
                <w:szCs w:val="20"/>
              </w:rPr>
            </m:ctrlPr>
          </m:sSupPr>
          <m:e>
            <m:d>
              <m:dPr>
                <m:begChr m:val="["/>
                <m:endChr m:val="]"/>
                <m:ctrlPr>
                  <w:rPr>
                    <w:rFonts w:ascii="Cambria Math" w:hAnsi="Cambria Math"/>
                    <w:bCs/>
                    <w:i/>
                    <w:szCs w:val="20"/>
                  </w:rPr>
                </m:ctrlPr>
              </m:dPr>
              <m:e>
                <m:m>
                  <m:mPr>
                    <m:mcs>
                      <m:mc>
                        <m:mcPr>
                          <m:count m:val="3"/>
                          <m:mcJc m:val="center"/>
                        </m:mcPr>
                      </m:mc>
                    </m:mcs>
                    <m:ctrlPr>
                      <w:rPr>
                        <w:rFonts w:ascii="Cambria Math" w:hAnsi="Cambria Math"/>
                        <w:bCs/>
                        <w:i/>
                        <w:szCs w:val="20"/>
                      </w:rPr>
                    </m:ctrlPr>
                  </m:mP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bCs/>
                          <w:i/>
                          <w:szCs w:val="20"/>
                        </w:rPr>
                      </m:ctrlPr>
                    </m:e>
                    <m:e>
                      <m:r>
                        <m:rPr/>
                        <w:rPr>
                          <w:rFonts w:ascii="Cambria Math" w:hAnsi="Cambria Math"/>
                          <w:szCs w:val="20"/>
                        </w:rPr>
                        <m:t>⋯</m:t>
                      </m:r>
                      <m:ctrlPr>
                        <w:rPr>
                          <w:rFonts w:ascii="Cambria Math" w:hAnsi="Cambria Math"/>
                          <w:bCs/>
                          <w:i/>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bCs/>
                          <w:i/>
                          <w:szCs w:val="20"/>
                        </w:rPr>
                      </m:ctrlPr>
                    </m:e>
                  </m:mr>
                </m:m>
                <m:ctrlPr>
                  <w:rPr>
                    <w:rFonts w:ascii="Cambria Math" w:hAnsi="Cambria Math"/>
                    <w:bCs/>
                    <w:i/>
                    <w:szCs w:val="20"/>
                  </w:rPr>
                </m:ctrlPr>
              </m:e>
            </m:d>
            <m:ctrlPr>
              <w:rPr>
                <w:rFonts w:ascii="Cambria Math" w:hAnsi="Cambria Math"/>
                <w:bCs/>
                <w:i/>
                <w:szCs w:val="20"/>
              </w:rPr>
            </m:ctrlPr>
          </m:e>
          <m:sup>
            <m:r>
              <m:rPr/>
              <w:rPr>
                <w:rFonts w:ascii="Cambria Math" w:hAnsi="Cambria Math"/>
                <w:szCs w:val="20"/>
              </w:rPr>
              <m:t>T</m:t>
            </m:r>
            <m:ctrlPr>
              <w:rPr>
                <w:rFonts w:ascii="Cambria Math" w:hAnsi="Cambria Math"/>
                <w:bCs/>
                <w:i/>
                <w:szCs w:val="20"/>
              </w:rPr>
            </m:ctrlPr>
          </m:sup>
        </m:sSup>
      </m:oMath>
      <w:r>
        <w:rPr>
          <w:szCs w:val="20"/>
        </w:rPr>
        <w:t xml:space="preserve"> is a vector of symbols transmitted on antenna ports </w:t>
      </w:r>
      <m:oMath>
        <m:r>
          <m:rPr/>
          <w:rPr>
            <w:rFonts w:ascii="Cambria Math" w:hAnsi="Cambria Math"/>
            <w:szCs w:val="20"/>
          </w:rPr>
          <m:t>[3000,…,3000+P−1]</m:t>
        </m:r>
      </m:oMath>
      <w:r>
        <w:rPr>
          <w:szCs w:val="20"/>
        </w:rPr>
        <w:t xml:space="preserve"> of each of the</w:t>
      </w:r>
      <w:r>
        <w:rPr>
          <w:szCs w:val="20"/>
          <w:lang w:val="en-GB"/>
        </w:rPr>
        <w:t xml:space="preserve"> </w:t>
      </w:r>
      <w:r>
        <w:rPr>
          <w:rFonts w:eastAsia="Calibri"/>
          <w:i/>
          <w:iCs/>
          <w:szCs w:val="20"/>
          <w:lang w:eastAsia="en-GB"/>
        </w:rPr>
        <w:t>N</w:t>
      </w:r>
      <w:r>
        <w:rPr>
          <w:rFonts w:eastAsia="Calibri"/>
          <w:szCs w:val="20"/>
          <w:vertAlign w:val="subscript"/>
          <w:lang w:eastAsia="en-GB"/>
        </w:rPr>
        <w:t>0</w:t>
      </w:r>
      <w:r>
        <w:rPr>
          <w:szCs w:val="20"/>
        </w:rPr>
        <w:t xml:space="preserve"> selected CSI-RS resources corresponding to a frequency point </w:t>
      </w:r>
      <m:oMath>
        <m:r>
          <m:rPr/>
          <w:rPr>
            <w:rFonts w:ascii="Cambria Math" w:hAnsi="Cambria Math"/>
            <w:szCs w:val="20"/>
          </w:rPr>
          <m:t>k</m:t>
        </m:r>
      </m:oMath>
      <w:r>
        <w:rPr>
          <w:szCs w:val="20"/>
        </w:rPr>
        <w:t xml:space="preserve"> and a time point </w:t>
      </w:r>
      <m:oMath>
        <m:r>
          <m:rPr/>
          <w:rPr>
            <w:rFonts w:ascii="Cambria Math" w:hAnsi="Cambria Math"/>
            <w:szCs w:val="20"/>
          </w:rPr>
          <m:t>l</m:t>
        </m:r>
      </m:oMath>
      <w:r>
        <w:rPr>
          <w:szCs w:val="20"/>
        </w:rPr>
        <w:t>,</w:t>
      </w:r>
      <w:r>
        <w:rPr>
          <w:bCs/>
          <w:szCs w:val="20"/>
        </w:rPr>
        <w:t xml:space="preserve"> </w:t>
      </w:r>
      <m:oMath>
        <m:r>
          <m:rPr/>
          <w:rPr>
            <w:rFonts w:ascii="Cambria Math" w:hAnsi="Cambria Math"/>
            <w:szCs w:val="20"/>
          </w:rPr>
          <m:t>x</m:t>
        </m:r>
        <m:d>
          <m:dPr>
            <m:ctrlPr>
              <w:rPr>
                <w:rFonts w:ascii="Cambria Math" w:hAnsi="Cambria Math"/>
                <w:bCs/>
                <w:i/>
                <w:szCs w:val="20"/>
              </w:rPr>
            </m:ctrlPr>
          </m:dPr>
          <m:e>
            <m:r>
              <m:rPr/>
              <w:rPr>
                <w:rFonts w:ascii="Cambria Math" w:hAnsi="Cambria Math"/>
                <w:szCs w:val="20"/>
              </w:rPr>
              <m:t>k,l</m:t>
            </m:r>
            <m:ctrlPr>
              <w:rPr>
                <w:rFonts w:ascii="Cambria Math" w:hAnsi="Cambria Math"/>
                <w:bCs/>
                <w:i/>
                <w:szCs w:val="20"/>
              </w:rPr>
            </m:ctrlPr>
          </m:e>
        </m:d>
        <m:r>
          <m:rPr/>
          <w:rPr>
            <w:rFonts w:ascii="Cambria Math" w:hAnsi="Cambria Math"/>
            <w:szCs w:val="20"/>
          </w:rPr>
          <m:t>=</m:t>
        </m:r>
        <m:sSup>
          <m:sSupPr>
            <m:ctrlPr>
              <w:rPr>
                <w:rFonts w:ascii="Cambria Math" w:hAnsi="Cambria Math"/>
                <w:bCs/>
                <w:i/>
                <w:szCs w:val="20"/>
              </w:rPr>
            </m:ctrlPr>
          </m:sSupPr>
          <m:e>
            <m:d>
              <m:dPr>
                <m:begChr m:val="["/>
                <m:endChr m:val="]"/>
                <m:ctrlPr>
                  <w:rPr>
                    <w:rFonts w:ascii="Cambria Math" w:hAnsi="Cambria Math"/>
                    <w:bCs/>
                    <w:i/>
                    <w:szCs w:val="20"/>
                  </w:rPr>
                </m:ctrlPr>
              </m:dPr>
              <m:e>
                <m:m>
                  <m:mPr>
                    <m:mcs>
                      <m:mc>
                        <m:mcPr>
                          <m:count m:val="3"/>
                          <m:mcJc m:val="center"/>
                        </m:mcPr>
                      </m:mc>
                    </m:mcs>
                    <m:ctrlPr>
                      <w:rPr>
                        <w:rFonts w:ascii="Cambria Math" w:hAnsi="Cambria Math"/>
                        <w:bCs/>
                        <w:i/>
                        <w:szCs w:val="20"/>
                      </w:rPr>
                    </m:ctrlPr>
                  </m:mPr>
                  <m:mr>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m:sty m:val="p"/>
                                </m:rPr>
                                <w:rPr>
                                  <w:rFonts w:ascii="Cambria Math" w:hAnsi="Cambria Math"/>
                                  <w:szCs w:val="20"/>
                                </w:rPr>
                                <m:t>0</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bCs/>
                          <w:i/>
                          <w:szCs w:val="20"/>
                        </w:rPr>
                      </m:ctrlPr>
                    </m:e>
                    <m:e>
                      <m:r>
                        <m:rPr/>
                        <w:rPr>
                          <w:rFonts w:ascii="Cambria Math" w:hAnsi="Cambria Math"/>
                          <w:szCs w:val="20"/>
                        </w:rPr>
                        <m:t>⋯</m:t>
                      </m:r>
                      <m:ctrlPr>
                        <w:rPr>
                          <w:rFonts w:ascii="Cambria Math" w:hAnsi="Cambria Math"/>
                          <w:bCs/>
                          <w:i/>
                          <w:szCs w:val="20"/>
                        </w:rPr>
                      </m:ctrlPr>
                    </m:e>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w:rPr>
                                  <w:rFonts w:ascii="Cambria Math" w:hAnsi="Cambria Math"/>
                                  <w:szCs w:val="20"/>
                                </w:rPr>
                                <m:t>υ</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bCs/>
                          <w:i/>
                          <w:szCs w:val="20"/>
                        </w:rPr>
                      </m:ctrlPr>
                    </m:e>
                  </m:mr>
                </m:m>
                <m:ctrlPr>
                  <w:rPr>
                    <w:rFonts w:ascii="Cambria Math" w:hAnsi="Cambria Math"/>
                    <w:bCs/>
                    <w:i/>
                    <w:szCs w:val="20"/>
                  </w:rPr>
                </m:ctrlPr>
              </m:e>
            </m:d>
            <m:ctrlPr>
              <w:rPr>
                <w:rFonts w:ascii="Cambria Math" w:hAnsi="Cambria Math"/>
                <w:bCs/>
                <w:i/>
                <w:szCs w:val="20"/>
              </w:rPr>
            </m:ctrlPr>
          </m:e>
          <m:sup>
            <m:r>
              <m:rPr/>
              <w:rPr>
                <w:rFonts w:ascii="Cambria Math" w:hAnsi="Cambria Math"/>
                <w:szCs w:val="20"/>
              </w:rPr>
              <m:t>T</m:t>
            </m:r>
            <m:ctrlPr>
              <w:rPr>
                <w:rFonts w:ascii="Cambria Math" w:hAnsi="Cambria Math"/>
                <w:bCs/>
                <w:i/>
                <w:szCs w:val="20"/>
              </w:rPr>
            </m:ctrlPr>
          </m:sup>
        </m:sSup>
      </m:oMath>
      <w:r>
        <w:rPr>
          <w:szCs w:val="20"/>
        </w:rPr>
        <w:t xml:space="preserve"> is a vector of PDSCH symbols corresponding to a frequency point </w:t>
      </w:r>
      <m:oMath>
        <m:r>
          <m:rPr/>
          <w:rPr>
            <w:rFonts w:ascii="Cambria Math" w:hAnsi="Cambria Math"/>
            <w:szCs w:val="20"/>
          </w:rPr>
          <m:t>k</m:t>
        </m:r>
      </m:oMath>
      <w:r>
        <w:rPr>
          <w:szCs w:val="20"/>
        </w:rPr>
        <w:t xml:space="preserve"> and a time point </w:t>
      </w:r>
      <m:oMath>
        <m:r>
          <m:rPr/>
          <w:rPr>
            <w:rFonts w:ascii="Cambria Math" w:hAnsi="Cambria Math"/>
            <w:szCs w:val="20"/>
          </w:rPr>
          <m:t>l</m:t>
        </m:r>
      </m:oMath>
      <w:r>
        <w:rPr>
          <w:szCs w:val="20"/>
        </w:rPr>
        <w:t xml:space="preserve">, </w:t>
      </w:r>
      <w:r>
        <w:rPr>
          <w:position w:val="-8"/>
          <w:szCs w:val="20"/>
        </w:rPr>
        <w:object>
          <v:shape id="_x0000_i1048" o:spt="75" type="#_x0000_t75" style="height:14.5pt;width:101.5pt;" o:ole="t" filled="f" o:preferrelative="t" stroked="f" coordsize="21600,21600">
            <v:path/>
            <v:fill on="f" focussize="0,0"/>
            <v:stroke on="f" joinstyle="miter"/>
            <v:imagedata r:id="rId51" o:title=""/>
            <o:lock v:ext="edit" aspectratio="t"/>
            <w10:wrap type="none"/>
            <w10:anchorlock/>
          </v:shape>
          <o:OLEObject Type="Embed" ProgID="Equation.3" ShapeID="_x0000_i1048" DrawAspect="Content" ObjectID="_1468075746" r:id="rId50">
            <o:LockedField>false</o:LockedField>
          </o:OLEObject>
        </w:object>
      </w:r>
      <w:r>
        <w:rPr>
          <w:szCs w:val="20"/>
        </w:rPr>
        <w:t xml:space="preserve"> is the number of CSI-RS ports, </w:t>
      </w:r>
      <w:r>
        <w:rPr>
          <w:color w:val="000000"/>
          <w:szCs w:val="20"/>
        </w:rPr>
        <w:t xml:space="preserve"> </w:t>
      </w:r>
      <m:oMath>
        <m:r>
          <m:rPr/>
          <w:rPr>
            <w:rFonts w:ascii="Cambria Math" w:hAnsi="Cambria Math"/>
            <w:szCs w:val="20"/>
          </w:rPr>
          <m:t>{</m:t>
        </m:r>
        <m:sSub>
          <m:sSubPr>
            <m:ctrlPr>
              <w:rPr>
                <w:rFonts w:ascii="Cambria Math" w:hAnsi="Cambria Math"/>
                <w:i/>
                <w:szCs w:val="20"/>
              </w:rPr>
            </m:ctrlPr>
          </m:sSubPr>
          <m:e>
            <m:r>
              <m:rPr/>
              <w:rPr>
                <w:rFonts w:ascii="Cambria Math" w:hAnsi="Cambria Math"/>
                <w:szCs w:val="20"/>
              </w:rPr>
              <m:t>σ</m:t>
            </m:r>
            <m:ctrlPr>
              <w:rPr>
                <w:rFonts w:ascii="Cambria Math" w:hAnsi="Cambria Math"/>
                <w:i/>
                <w:szCs w:val="20"/>
              </w:rPr>
            </m:ctrlPr>
          </m:e>
          <m:sub>
            <m:r>
              <m:rPr/>
              <w:rPr>
                <w:rFonts w:ascii="Cambria Math" w:hAnsi="Cambria Math"/>
                <w:szCs w:val="20"/>
              </w:rPr>
              <m:t>1</m:t>
            </m:r>
            <m:ctrlPr>
              <w:rPr>
                <w:rFonts w:ascii="Cambria Math" w:hAnsi="Cambria Math"/>
                <w:i/>
                <w:szCs w:val="20"/>
              </w:rPr>
            </m:ctrlPr>
          </m:sub>
        </m:sSub>
        <m:r>
          <m:rPr/>
          <w:rPr>
            <w:rFonts w:ascii="Cambria Math" w:hAnsi="Cambria Math"/>
            <w:szCs w:val="20"/>
          </w:rPr>
          <m:t>,…,</m:t>
        </m:r>
        <m:sSub>
          <m:sSubPr>
            <m:ctrlPr>
              <w:rPr>
                <w:rFonts w:ascii="Cambria Math" w:hAnsi="Cambria Math"/>
                <w:i/>
                <w:szCs w:val="20"/>
              </w:rPr>
            </m:ctrlPr>
          </m:sSubPr>
          <m:e>
            <m:r>
              <m:rPr/>
              <w:rPr>
                <w:rFonts w:ascii="Cambria Math" w:hAnsi="Cambria Math"/>
                <w:szCs w:val="20"/>
              </w:rPr>
              <m:t>σ</m:t>
            </m:r>
            <m:ctrlPr>
              <w:rPr>
                <w:rFonts w:ascii="Cambria Math" w:hAnsi="Cambria Math"/>
                <w:i/>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i/>
                <w:szCs w:val="20"/>
              </w:rPr>
            </m:ctrlPr>
          </m:sub>
        </m:sSub>
        <m:r>
          <m:rPr/>
          <w:rPr>
            <w:rFonts w:ascii="Cambria Math" w:hAnsi="Cambria Math"/>
            <w:szCs w:val="20"/>
          </w:rPr>
          <m:t>}</m:t>
        </m:r>
      </m:oMath>
      <w:r>
        <w:rPr>
          <w:szCs w:val="20"/>
        </w:rPr>
        <w:t xml:space="preserve"> are the indices of the</w:t>
      </w:r>
      <w:r>
        <w:rPr>
          <w:szCs w:val="20"/>
          <w:lang w:val="en-GB"/>
        </w:rPr>
        <w:t xml:space="preserve"> </w:t>
      </w:r>
      <w:r>
        <w:rPr>
          <w:rFonts w:eastAsia="Calibri"/>
          <w:i/>
          <w:iCs/>
          <w:szCs w:val="20"/>
          <w:lang w:eastAsia="en-GB"/>
        </w:rPr>
        <w:t>N</w:t>
      </w:r>
      <w:r>
        <w:rPr>
          <w:rFonts w:eastAsia="Calibri"/>
          <w:szCs w:val="20"/>
          <w:vertAlign w:val="subscript"/>
          <w:lang w:eastAsia="en-GB"/>
        </w:rPr>
        <w:t>0</w:t>
      </w:r>
      <w:r>
        <w:rPr>
          <w:szCs w:val="20"/>
        </w:rPr>
        <w:t xml:space="preserve"> selected CSI-RS resources in increasing order, such that </w:t>
      </w:r>
      <m:oMath>
        <m:r>
          <m:rPr/>
          <w:rPr>
            <w:rFonts w:ascii="Cambria Math" w:hAnsi="Cambria Math"/>
            <w:szCs w:val="20"/>
          </w:rPr>
          <m:t>1≤</m:t>
        </m:r>
        <m:sSub>
          <m:sSubPr>
            <m:ctrlPr>
              <w:rPr>
                <w:rFonts w:ascii="Cambria Math" w:hAnsi="Cambria Math"/>
                <w:i/>
                <w:szCs w:val="20"/>
              </w:rPr>
            </m:ctrlPr>
          </m:sSubPr>
          <m:e>
            <m:r>
              <m:rPr/>
              <w:rPr>
                <w:rFonts w:ascii="Cambria Math" w:hAnsi="Cambria Math"/>
                <w:szCs w:val="20"/>
              </w:rPr>
              <m:t>σ</m:t>
            </m:r>
            <m:ctrlPr>
              <w:rPr>
                <w:rFonts w:ascii="Cambria Math" w:hAnsi="Cambria Math"/>
                <w:i/>
                <w:szCs w:val="20"/>
              </w:rPr>
            </m:ctrlPr>
          </m:e>
          <m:sub>
            <m:r>
              <m:rPr/>
              <w:rPr>
                <w:rFonts w:ascii="Cambria Math" w:hAnsi="Cambria Math"/>
                <w:szCs w:val="20"/>
              </w:rPr>
              <m:t>1</m:t>
            </m:r>
            <m:ctrlPr>
              <w:rPr>
                <w:rFonts w:ascii="Cambria Math" w:hAnsi="Cambria Math"/>
                <w:i/>
                <w:szCs w:val="20"/>
              </w:rPr>
            </m:ctrlPr>
          </m:sub>
        </m:sSub>
        <m:r>
          <m:rPr/>
          <w:rPr>
            <w:rFonts w:ascii="Cambria Math" w:hAnsi="Cambria Math"/>
            <w:szCs w:val="20"/>
          </w:rPr>
          <m:t>&lt;…&lt;</m:t>
        </m:r>
        <m:sSub>
          <m:sSubPr>
            <m:ctrlPr>
              <w:rPr>
                <w:rFonts w:ascii="Cambria Math" w:hAnsi="Cambria Math"/>
                <w:i/>
                <w:szCs w:val="20"/>
              </w:rPr>
            </m:ctrlPr>
          </m:sSubPr>
          <m:e>
            <m:r>
              <m:rPr/>
              <w:rPr>
                <w:rFonts w:ascii="Cambria Math" w:hAnsi="Cambria Math"/>
                <w:szCs w:val="20"/>
              </w:rPr>
              <m:t>σ</m:t>
            </m:r>
            <m:ctrlPr>
              <w:rPr>
                <w:rFonts w:ascii="Cambria Math" w:hAnsi="Cambria Math"/>
                <w:i/>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i/>
                <w:szCs w:val="20"/>
              </w:rPr>
            </m:ctrlPr>
          </m:sub>
        </m:sSub>
        <m:r>
          <m:rPr/>
          <w:rPr>
            <w:rFonts w:ascii="Cambria Math" w:hAnsi="Cambria Math"/>
            <w:szCs w:val="20"/>
          </w:rPr>
          <m:t>≤</m:t>
        </m:r>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TRP</m:t>
            </m:r>
            <m:ctrlPr>
              <w:rPr>
                <w:rFonts w:ascii="Cambria Math" w:hAnsi="Cambria Math"/>
                <w:i/>
                <w:szCs w:val="20"/>
              </w:rPr>
            </m:ctrlPr>
          </m:sub>
        </m:sSub>
      </m:oMath>
      <w:r>
        <w:rPr>
          <w:szCs w:val="20"/>
        </w:rPr>
        <w:t xml:space="preserve">, </w:t>
      </w:r>
      <m:oMath>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w:rPr>
                    <w:rFonts w:ascii="Cambria Math" w:hAnsi="Cambria Math"/>
                    <w:szCs w:val="20"/>
                  </w:rPr>
                  <m:t>n</m:t>
                </m:r>
                <m:ctrlPr>
                  <w:rPr>
                    <w:rFonts w:ascii="Cambria Math" w:hAnsi="Cambria Math"/>
                    <w:szCs w:val="20"/>
                  </w:rPr>
                </m:ctrlPr>
              </m:sub>
            </m:sSub>
            <m:ctrlPr>
              <w:rPr>
                <w:rFonts w:ascii="Cambria Math" w:hAnsi="Cambria Math"/>
                <w:szCs w:val="20"/>
              </w:rPr>
            </m:ctrlPr>
          </m:sub>
        </m:sSub>
      </m:oMath>
      <w:r>
        <w:rPr>
          <w:szCs w:val="20"/>
        </w:rPr>
        <w:t xml:space="preserve"> is the precoding matrix corresponding to the CSI-RS resource with index </w:t>
      </w:r>
      <m:oMath>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w:rPr>
                <w:rFonts w:ascii="Cambria Math" w:hAnsi="Cambria Math"/>
                <w:szCs w:val="20"/>
              </w:rPr>
              <m:t>n</m:t>
            </m:r>
            <m:ctrlPr>
              <w:rPr>
                <w:rFonts w:ascii="Cambria Math" w:hAnsi="Cambria Math"/>
                <w:szCs w:val="20"/>
              </w:rPr>
            </m:ctrlPr>
          </m:sub>
        </m:sSub>
      </m:oMath>
      <w:r>
        <w:rPr>
          <w:iCs/>
          <w:szCs w:val="20"/>
        </w:rPr>
        <w:t xml:space="preserve">, </w:t>
      </w:r>
      <m:oMath>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oMath>
      <w:r>
        <w:rPr>
          <w:szCs w:val="20"/>
        </w:rPr>
        <w:t xml:space="preserve"> is a reference frequency point (</w:t>
      </w:r>
      <m:oMath>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oMath>
      <w:r>
        <w:rPr>
          <w:rFonts w:hint="eastAsia"/>
          <w:szCs w:val="20"/>
        </w:rPr>
        <w:t xml:space="preserve"> </w:t>
      </w:r>
      <w:r>
        <w:rPr>
          <w:szCs w:val="20"/>
        </w:rPr>
        <w:t xml:space="preserve">may equal to 0), </w:t>
      </w:r>
      <m:oMath>
        <m:r>
          <m:rPr/>
          <w:rPr>
            <w:rFonts w:ascii="Cambria Math" w:hAnsi="Cambria Math"/>
            <w:szCs w:val="20"/>
          </w:rPr>
          <m:t>(k−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m:t>
        </m:r>
      </m:oMath>
      <w:r>
        <w:rPr>
          <w:szCs w:val="20"/>
        </w:rPr>
        <w:t xml:space="preserve"> denotes the number of frequency units between the time point </w:t>
      </w:r>
      <m:oMath>
        <m:r>
          <m:rPr/>
          <w:rPr>
            <w:rFonts w:ascii="Cambria Math" w:hAnsi="Cambria Math"/>
            <w:szCs w:val="20"/>
          </w:rPr>
          <m:t>k</m:t>
        </m:r>
      </m:oMath>
      <w:r>
        <w:rPr>
          <w:szCs w:val="20"/>
        </w:rPr>
        <w:t xml:space="preserve"> and the reference time point </w:t>
      </w:r>
      <m:oMath>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oMath>
      <w:r>
        <w:rPr>
          <w:szCs w:val="20"/>
        </w:rPr>
        <w:t xml:space="preserve">, </w:t>
      </w:r>
      <m:oMath>
        <m:r>
          <m:rPr/>
          <w:rPr>
            <w:rFonts w:ascii="Cambria Math" w:hAnsi="Cambria Math"/>
            <w:szCs w:val="20"/>
          </w:rPr>
          <m:t>∆f</m:t>
        </m:r>
      </m:oMath>
      <w:r>
        <w:rPr>
          <w:szCs w:val="20"/>
        </w:rPr>
        <w:t xml:space="preserve"> is a frequency unit, </w:t>
      </w:r>
      <m:oMath>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w:rPr>
                    <w:rFonts w:ascii="Cambria Math" w:hAnsi="Cambria Math"/>
                    <w:szCs w:val="20"/>
                  </w:rPr>
                  <m:t>n</m:t>
                </m:r>
                <m:ctrlPr>
                  <w:rPr>
                    <w:rFonts w:ascii="Cambria Math" w:hAnsi="Cambria Math"/>
                    <w:szCs w:val="20"/>
                  </w:rPr>
                </m:ctrlPr>
              </m:sub>
            </m:sSub>
            <m:ctrlPr>
              <w:rPr>
                <w:rFonts w:ascii="Cambria Math" w:hAnsi="Cambria Math"/>
                <w:i/>
                <w:szCs w:val="20"/>
              </w:rPr>
            </m:ctrlPr>
          </m:sub>
        </m:sSub>
      </m:oMath>
      <w:r>
        <w:rPr>
          <w:szCs w:val="20"/>
        </w:rPr>
        <w:t xml:space="preserve"> is the DO associated with the CSI-RS resource with index </w:t>
      </w:r>
      <m:oMath>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w:rPr>
                <w:rFonts w:ascii="Cambria Math" w:hAnsi="Cambria Math"/>
                <w:szCs w:val="20"/>
              </w:rPr>
              <m:t>n</m:t>
            </m:r>
            <m:ctrlPr>
              <w:rPr>
                <w:rFonts w:ascii="Cambria Math" w:hAnsi="Cambria Math"/>
                <w:szCs w:val="20"/>
              </w:rPr>
            </m:ctrlPr>
          </m:sub>
        </m:sSub>
      </m:oMath>
      <w:r>
        <w:rPr>
          <w:szCs w:val="20"/>
        </w:rPr>
        <w:t xml:space="preserve">, </w:t>
      </w:r>
      <m:oMath>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oMath>
      <w:r>
        <w:rPr>
          <w:szCs w:val="20"/>
        </w:rPr>
        <w:t xml:space="preserve"> is a reference time point (</w:t>
      </w:r>
      <m:oMath>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oMath>
      <w:r>
        <w:rPr>
          <w:rFonts w:hint="eastAsia"/>
          <w:szCs w:val="20"/>
        </w:rPr>
        <w:t xml:space="preserve"> </w:t>
      </w:r>
      <w:r>
        <w:rPr>
          <w:szCs w:val="20"/>
        </w:rPr>
        <w:t xml:space="preserve">may equal to 0), </w:t>
      </w:r>
      <m:oMath>
        <m:r>
          <m:rPr/>
          <w:rPr>
            <w:rFonts w:ascii="Cambria Math" w:hAnsi="Cambria Math"/>
            <w:szCs w:val="20"/>
          </w:rPr>
          <m:t>∆t</m:t>
        </m:r>
      </m:oMath>
      <w:r>
        <w:rPr>
          <w:szCs w:val="20"/>
        </w:rPr>
        <w:t xml:space="preserve"> is a time unit, </w:t>
      </w:r>
      <m:oMath>
        <m:r>
          <m:rPr/>
          <w:rPr>
            <w:rFonts w:ascii="Cambria Math" w:hAnsi="Cambria Math"/>
            <w:szCs w:val="20"/>
          </w:rPr>
          <m:t>(l−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m:t>
        </m:r>
      </m:oMath>
      <w:r>
        <w:rPr>
          <w:szCs w:val="20"/>
        </w:rPr>
        <w:t xml:space="preserve"> denotes the number of time units between the time point </w:t>
      </w:r>
      <m:oMath>
        <m:r>
          <m:rPr/>
          <w:rPr>
            <w:rFonts w:ascii="Cambria Math" w:hAnsi="Cambria Math"/>
            <w:szCs w:val="20"/>
          </w:rPr>
          <m:t>l</m:t>
        </m:r>
      </m:oMath>
      <w:r>
        <w:rPr>
          <w:szCs w:val="20"/>
        </w:rPr>
        <w:t xml:space="preserve"> and the reference time point </w:t>
      </w:r>
      <m:oMath>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oMath>
      <w:r>
        <w:rPr>
          <w:szCs w:val="20"/>
        </w:rPr>
        <w:t xml:space="preserve">, </w:t>
      </w:r>
      <m:oMath>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w:rPr>
                    <w:rFonts w:ascii="Cambria Math" w:hAnsi="Cambria Math"/>
                    <w:szCs w:val="20"/>
                  </w:rPr>
                  <m:t>n</m:t>
                </m:r>
                <m:ctrlPr>
                  <w:rPr>
                    <w:rFonts w:ascii="Cambria Math" w:hAnsi="Cambria Math"/>
                    <w:szCs w:val="20"/>
                  </w:rPr>
                </m:ctrlPr>
              </m:sub>
            </m:sSub>
            <m:ctrlPr>
              <w:rPr>
                <w:rFonts w:ascii="Cambria Math" w:hAnsi="Cambria Math"/>
                <w:i/>
                <w:szCs w:val="20"/>
              </w:rPr>
            </m:ctrlPr>
          </m:sub>
        </m:sSub>
      </m:oMath>
      <w:r>
        <w:rPr>
          <w:szCs w:val="20"/>
        </w:rPr>
        <w:t xml:space="preserve"> is the FO associated with the CSI-RS resource with index </w:t>
      </w:r>
      <m:oMath>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w:rPr>
                <w:rFonts w:ascii="Cambria Math" w:hAnsi="Cambria Math"/>
                <w:szCs w:val="20"/>
              </w:rPr>
              <m:t>n</m:t>
            </m:r>
            <m:ctrlPr>
              <w:rPr>
                <w:rFonts w:ascii="Cambria Math" w:hAnsi="Cambria Math"/>
                <w:szCs w:val="20"/>
              </w:rPr>
            </m:ctrlPr>
          </m:sub>
        </m:sSub>
      </m:oMath>
      <w:r>
        <w:rPr>
          <w:szCs w:val="20"/>
        </w:rPr>
        <w:t>.</w:t>
      </w:r>
    </w:p>
    <w:p>
      <w:pPr>
        <w:snapToGrid w:val="0"/>
        <w:spacing w:before="72" w:beforeLines="30" w:after="72" w:afterLines="30" w:line="300" w:lineRule="auto"/>
        <w:textAlignment w:val="center"/>
        <w:rPr>
          <w:rFonts w:eastAsia="微软雅黑"/>
          <w:i/>
          <w:szCs w:val="20"/>
        </w:rPr>
      </w:pPr>
      <w:r>
        <w:rPr>
          <w:b/>
          <w:bCs/>
          <w:i/>
          <w:szCs w:val="20"/>
        </w:rPr>
        <w:t xml:space="preserve">Proposal </w:t>
      </w:r>
      <w:r>
        <w:rPr>
          <w:rFonts w:hint="eastAsia"/>
          <w:b/>
          <w:bCs/>
          <w:i/>
          <w:szCs w:val="20"/>
        </w:rPr>
        <w:t>13</w:t>
      </w:r>
      <w:r>
        <w:rPr>
          <w:b/>
          <w:bCs/>
          <w:i/>
          <w:szCs w:val="20"/>
        </w:rPr>
        <w:t>:</w:t>
      </w:r>
      <w:r>
        <w:rPr>
          <w:bCs/>
          <w:i/>
          <w:szCs w:val="20"/>
        </w:rPr>
        <w:t xml:space="preserve"> </w:t>
      </w:r>
      <w:r>
        <w:rPr>
          <w:rFonts w:eastAsia="微软雅黑"/>
          <w:i/>
          <w:szCs w:val="20"/>
        </w:rPr>
        <w:t>Regarding Rel-19 CJT calibration reporting, support introducing new precoding assumption(s) for UE-specific DO/FO pre-compensated CJT.</w:t>
      </w:r>
    </w:p>
    <w:p>
      <w:pPr>
        <w:pStyle w:val="112"/>
        <w:numPr>
          <w:ilvl w:val="0"/>
          <w:numId w:val="24"/>
        </w:numPr>
        <w:ind w:firstLineChars="0"/>
        <w:rPr>
          <w:bCs/>
          <w:i/>
          <w:szCs w:val="20"/>
        </w:rPr>
      </w:pPr>
      <w:r>
        <w:rPr>
          <w:rFonts w:hint="eastAsia"/>
          <w:bCs/>
          <w:i/>
          <w:szCs w:val="20"/>
        </w:rPr>
        <w:t>I</w:t>
      </w:r>
      <w:r>
        <w:rPr>
          <w:bCs/>
          <w:i/>
          <w:szCs w:val="20"/>
        </w:rPr>
        <w:t>f DO is pre-compensated, the precoding assumption can be expressed as</w:t>
      </w:r>
    </w:p>
    <w:p>
      <w:pPr>
        <w:pStyle w:val="112"/>
        <w:ind w:left="840" w:firstLine="0" w:firstLineChars="0"/>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eastAsia="Cambria Math"/>
                              <w:szCs w:val="20"/>
                            </w:rPr>
                            <m:t>⋮</m:t>
                          </m:r>
                          <m:ctrlPr>
                            <w:rPr>
                              <w:rFonts w:ascii="Cambria Math" w:hAnsi="Cambria Math" w:eastAsia="Cambria Math"/>
                              <w:szCs w:val="20"/>
                            </w:rPr>
                          </m:ctrlPr>
                        </m:e>
                      </m:m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szCs w:val="20"/>
                            </w:rPr>
                            <m:t>⋮</m:t>
                          </m:r>
                          <m:ctrlPr>
                            <w:rPr>
                              <w:rFonts w:ascii="Cambria Math" w:hAnsi="Cambria Math"/>
                              <w:szCs w:val="20"/>
                            </w:rPr>
                          </m:ctrlPr>
                        </m:e>
                      </m:m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m>
                      <m:mPr>
                        <m:mcs>
                          <m:mc>
                            <m:mcPr>
                              <m:count m:val="1"/>
                              <m:mcJc m:val="center"/>
                            </m:mcPr>
                          </m:mc>
                        </m:mcs>
                        <m:ctrlPr>
                          <w:rPr>
                            <w:rFonts w:ascii="Cambria Math" w:hAnsi="Cambria Math"/>
                            <w:szCs w:val="20"/>
                          </w:rPr>
                        </m:ctrlPr>
                      </m:mPr>
                      <m:mr>
                        <m:e>
                          <m:r>
                            <m:rPr>
                              <m:sty m:val="p"/>
                            </m:rPr>
                            <w:rPr>
                              <w:rFonts w:ascii="Cambria Math" w:hAnsi="Cambria Math"/>
                              <w:szCs w:val="20"/>
                            </w:rPr>
                            <m:t>⋮</m:t>
                          </m:r>
                          <m:ctrlPr>
                            <w:rPr>
                              <w:rFonts w:ascii="Cambria Math" w:hAnsi="Cambria Math"/>
                              <w:szCs w:val="20"/>
                            </w:rPr>
                          </m:ctrlPr>
                        </m:e>
                      </m:mr>
                      <m:mr>
                        <m:e>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m:sty m:val="p"/>
                            </m:rPr>
                            <w:rPr>
                              <w:rFonts w:ascii="Cambria Math" w:hAnsi="Cambria Math"/>
                              <w:szCs w:val="20"/>
                            </w:rPr>
                            <m:t>0</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w:rPr>
                              <w:rFonts w:ascii="Cambria Math" w:hAnsi="Cambria Math"/>
                              <w:szCs w:val="20"/>
                            </w:rPr>
                            <m:t>υ</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qArr>
              <m:ctrlPr>
                <w:rPr>
                  <w:rFonts w:ascii="Cambria Math" w:hAnsi="Cambria Math"/>
                  <w:szCs w:val="20"/>
                </w:rPr>
              </m:ctrlPr>
            </m:e>
          </m:d>
        </m:oMath>
      </m:oMathPara>
    </w:p>
    <w:p>
      <w:pPr>
        <w:pStyle w:val="112"/>
        <w:numPr>
          <w:ilvl w:val="0"/>
          <w:numId w:val="24"/>
        </w:numPr>
        <w:ind w:firstLineChars="0"/>
        <w:rPr>
          <w:bCs/>
          <w:i/>
          <w:szCs w:val="20"/>
        </w:rPr>
      </w:pPr>
      <w:r>
        <w:rPr>
          <w:rFonts w:hint="eastAsia"/>
          <w:bCs/>
          <w:i/>
          <w:szCs w:val="20"/>
        </w:rPr>
        <w:t>I</w:t>
      </w:r>
      <w:r>
        <w:rPr>
          <w:bCs/>
          <w:i/>
          <w:szCs w:val="20"/>
        </w:rPr>
        <w:t>f FO is pre-compensated, the precoding assumption can be expressed as</w:t>
      </w:r>
    </w:p>
    <w:p>
      <w:pPr>
        <w:snapToGrid w:val="0"/>
        <w:spacing w:before="72" w:beforeLines="30" w:after="72" w:afterLines="30" w:line="300" w:lineRule="auto"/>
        <w:textAlignment w:val="center"/>
        <w:rPr>
          <w:rFonts w:eastAsiaTheme="minorEastAsia"/>
          <w:i/>
          <w:iCs/>
          <w:szCs w:val="24"/>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eastAsia="Cambria Math"/>
                              <w:szCs w:val="20"/>
                            </w:rPr>
                            <m:t>⋮</m:t>
                          </m:r>
                          <m:ctrlPr>
                            <w:rPr>
                              <w:rFonts w:ascii="Cambria Math" w:hAnsi="Cambria Math" w:eastAsia="Cambria Math"/>
                              <w:szCs w:val="20"/>
                            </w:rPr>
                          </m:ctrlPr>
                        </m:e>
                      </m:m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szCs w:val="20"/>
                            </w:rPr>
                            <m:t>⋮</m:t>
                          </m:r>
                          <m:ctrlPr>
                            <w:rPr>
                              <w:rFonts w:ascii="Cambria Math" w:hAnsi="Cambria Math"/>
                              <w:szCs w:val="20"/>
                            </w:rPr>
                          </m:ctrlPr>
                        </m:e>
                      </m:m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m>
                      <m:mPr>
                        <m:mcs>
                          <m:mc>
                            <m:mcPr>
                              <m:count m:val="1"/>
                              <m:mcJc m:val="center"/>
                            </m:mcPr>
                          </m:mc>
                        </m:mcs>
                        <m:ctrlPr>
                          <w:rPr>
                            <w:rFonts w:ascii="Cambria Math" w:hAnsi="Cambria Math"/>
                            <w:szCs w:val="20"/>
                          </w:rPr>
                        </m:ctrlPr>
                      </m:mPr>
                      <m:mr>
                        <m:e>
                          <m:r>
                            <m:rPr>
                              <m:sty m:val="p"/>
                            </m:rPr>
                            <w:rPr>
                              <w:rFonts w:ascii="Cambria Math" w:hAnsi="Cambria Math"/>
                              <w:szCs w:val="20"/>
                            </w:rPr>
                            <m:t>⋮</m:t>
                          </m:r>
                          <m:ctrlPr>
                            <w:rPr>
                              <w:rFonts w:ascii="Cambria Math" w:hAnsi="Cambria Math"/>
                              <w:szCs w:val="20"/>
                            </w:rPr>
                          </m:ctrlPr>
                        </m:e>
                      </m:mr>
                      <m:mr>
                        <m:e>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m:sty m:val="p"/>
                            </m:rPr>
                            <w:rPr>
                              <w:rFonts w:ascii="Cambria Math" w:hAnsi="Cambria Math"/>
                              <w:szCs w:val="20"/>
                            </w:rPr>
                            <m:t>0</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w:rPr>
                              <w:rFonts w:ascii="Cambria Math" w:hAnsi="Cambria Math"/>
                              <w:szCs w:val="20"/>
                            </w:rPr>
                            <m:t>υ</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qArr>
              <m:ctrlPr>
                <w:rPr>
                  <w:rFonts w:ascii="Cambria Math" w:hAnsi="Cambria Math"/>
                  <w:szCs w:val="20"/>
                </w:rPr>
              </m:ctrlPr>
            </m:e>
          </m:d>
        </m:oMath>
      </m:oMathPara>
    </w:p>
    <w:p>
      <w:pPr>
        <w:pStyle w:val="112"/>
        <w:snapToGrid w:val="0"/>
        <w:spacing w:beforeLines="50" w:afterLines="50" w:line="240" w:lineRule="exact"/>
        <w:ind w:firstLine="0" w:firstLineChars="0"/>
        <w:rPr>
          <w:rFonts w:eastAsiaTheme="minorEastAsia"/>
          <w:i/>
          <w:iCs/>
          <w:szCs w:val="24"/>
        </w:rPr>
      </w:pPr>
    </w:p>
    <w:p>
      <w:pPr>
        <w:numPr>
          <w:ilvl w:val="1"/>
          <w:numId w:val="8"/>
        </w:numPr>
        <w:snapToGrid w:val="0"/>
        <w:spacing w:afterLines="50" w:line="25" w:lineRule="atLeast"/>
        <w:outlineLvl w:val="1"/>
        <w:rPr>
          <w:b/>
          <w:sz w:val="24"/>
          <w:szCs w:val="20"/>
        </w:rPr>
      </w:pPr>
      <w:r>
        <w:rPr>
          <w:b/>
          <w:sz w:val="24"/>
          <w:szCs w:val="20"/>
        </w:rPr>
        <w:t>Dropping rule for CJT calibration report</w:t>
      </w:r>
    </w:p>
    <w:p>
      <w:pPr>
        <w:pStyle w:val="112"/>
        <w:ind w:firstLine="0" w:firstLineChars="0"/>
        <w:rPr>
          <w:szCs w:val="24"/>
        </w:rPr>
      </w:pPr>
      <w:r>
        <w:rPr>
          <w:rFonts w:hint="eastAsia"/>
        </w:rPr>
        <w:t xml:space="preserve">In current specification TS38.214, regarding Rel-17/18 CSI enhancement, the UE reports a CSI report only after receiving at least one CSI-RS transmission occasion for each of the CSI-RS resources in the corresponding CSI-RS </w:t>
      </w:r>
      <w:r>
        <w:t>r</w:t>
      </w:r>
      <w:r>
        <w:rPr>
          <w:rFonts w:hint="eastAsia"/>
        </w:rPr>
        <w:t xml:space="preserve">esource </w:t>
      </w:r>
      <w:r>
        <w:t>s</w:t>
      </w:r>
      <w:r>
        <w:rPr>
          <w:rFonts w:hint="eastAsia"/>
        </w:rPr>
        <w:t xml:space="preserve">et for channel measurement and </w:t>
      </w:r>
      <w:r>
        <w:t xml:space="preserve">at least </w:t>
      </w:r>
      <w:r>
        <w:rPr>
          <w:rFonts w:hint="eastAsia"/>
        </w:rPr>
        <w:t>one CSI-RS and/or CSI-IM resource transmission occasion for</w:t>
      </w:r>
      <w:r>
        <w:t xml:space="preserve"> each of</w:t>
      </w:r>
      <w:r>
        <w:rPr>
          <w:rFonts w:hint="eastAsia"/>
        </w:rPr>
        <w:t xml:space="preserve"> the CSI-RS and/or CSI-IM resource in the corresponding Resource Set for interference measurement no later than the CSI reference resource and within the same DRX active time, when DRX is configured, and drops the report otherwise.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spacing w:after="180"/>
              <w:ind w:left="1418" w:hanging="1418"/>
              <w:outlineLvl w:val="3"/>
              <w:rPr>
                <w:rFonts w:eastAsia="Batang"/>
                <w:szCs w:val="24"/>
              </w:rPr>
            </w:pPr>
            <w:r>
              <w:rPr>
                <w:rFonts w:ascii="Arial" w:hAnsi="Arial"/>
                <w:sz w:val="24"/>
                <w:lang w:eastAsia="en-US"/>
              </w:rPr>
              <w:t>5.2.2.5</w:t>
            </w:r>
            <w:r>
              <w:rPr>
                <w:rFonts w:ascii="Arial" w:hAnsi="Arial"/>
                <w:sz w:val="24"/>
                <w:lang w:eastAsia="en-US"/>
              </w:rPr>
              <w:tab/>
            </w:r>
            <w:r>
              <w:rPr>
                <w:rFonts w:ascii="Arial" w:hAnsi="Arial"/>
                <w:sz w:val="24"/>
                <w:lang w:eastAsia="en-US"/>
              </w:rPr>
              <w:t>CSI reference resource definition</w:t>
            </w:r>
          </w:p>
          <w:p>
            <w:pPr>
              <w:numPr>
                <w:ilvl w:val="255"/>
                <w:numId w:val="0"/>
              </w:numPr>
              <w:spacing w:line="240" w:lineRule="auto"/>
              <w:jc w:val="center"/>
              <w:rPr>
                <w:rFonts w:eastAsia="Batang"/>
                <w:szCs w:val="24"/>
              </w:rPr>
            </w:pPr>
            <w:r>
              <w:rPr>
                <w:rFonts w:hint="eastAsia"/>
                <w:bCs/>
              </w:rPr>
              <w:t>&lt; Text omitted &gt;</w:t>
            </w:r>
          </w:p>
          <w:p>
            <w:pPr>
              <w:spacing w:before="0" w:after="180" w:line="240" w:lineRule="auto"/>
              <w:jc w:val="left"/>
              <w:rPr>
                <w:color w:val="000000"/>
                <w:szCs w:val="20"/>
                <w:lang w:val="en-GB" w:eastAsia="en-US"/>
              </w:rPr>
            </w:pPr>
            <w:r>
              <w:rPr>
                <w:color w:val="000000"/>
                <w:szCs w:val="20"/>
                <w:lang w:val="en-GB" w:eastAsia="en-US"/>
              </w:rPr>
              <w:t xml:space="preserve">For a CSI-ReportConfig configured with two Resource Groups and </w:t>
            </w:r>
            <m:oMath>
              <m:r>
                <m:rPr/>
                <w:rPr>
                  <w:rFonts w:ascii="Cambria Math" w:hAnsi="Cambria Math"/>
                  <w:color w:val="000000"/>
                </w:rPr>
                <m:t>N</m:t>
              </m:r>
            </m:oMath>
            <w:r>
              <w:rPr>
                <w:color w:val="000000"/>
                <w:szCs w:val="20"/>
                <w:lang w:val="en-GB" w:eastAsia="en-US"/>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CSI-IM occasion for each of the CSI-IM resources in the corresponding Resource Set for interference measurement no later than the CSI reference resource and within the same DRX Active Time when DRX is configured, and drops the report otherwise.</w:t>
            </w:r>
          </w:p>
          <w:p>
            <w:pPr>
              <w:spacing w:before="0" w:after="180" w:line="240" w:lineRule="auto"/>
              <w:jc w:val="left"/>
              <w:rPr>
                <w:color w:val="000000"/>
                <w:szCs w:val="20"/>
                <w:lang w:val="en-GB" w:eastAsia="en-US"/>
              </w:rPr>
            </w:pPr>
            <w:r>
              <w:rPr>
                <w:color w:val="000000"/>
                <w:szCs w:val="20"/>
                <w:lang w:val="en-GB" w:eastAsia="en-US"/>
              </w:rPr>
              <w:t xml:space="preserve">For a </w:t>
            </w:r>
            <w:r>
              <w:rPr>
                <w:i/>
                <w:iCs/>
                <w:color w:val="000000"/>
                <w:szCs w:val="20"/>
                <w:lang w:val="en-GB" w:eastAsia="en-US"/>
              </w:rPr>
              <w:t>CSI-ReportConfig</w:t>
            </w:r>
            <w:r>
              <w:rPr>
                <w:color w:val="000000"/>
                <w:szCs w:val="20"/>
                <w:lang w:val="en-GB" w:eastAsia="en-US"/>
              </w:rPr>
              <w:t xml:space="preserve"> configured with </w:t>
            </w:r>
            <w:r>
              <w:rPr>
                <w:i/>
                <w:iCs/>
                <w:color w:val="000000"/>
                <w:szCs w:val="20"/>
                <w:lang w:val="en-GB"/>
              </w:rPr>
              <w:t>codebookType</w:t>
            </w:r>
            <w:r>
              <w:rPr>
                <w:color w:val="000000"/>
                <w:szCs w:val="20"/>
                <w:lang w:val="en-GB"/>
              </w:rPr>
              <w:t xml:space="preserve"> set to </w:t>
            </w:r>
            <w:r>
              <w:rPr>
                <w:rFonts w:eastAsia="MS Mincho"/>
                <w:color w:val="000000"/>
                <w:szCs w:val="20"/>
                <w:lang w:val="en-GB" w:eastAsia="en-US"/>
              </w:rPr>
              <w:t>'typeII-CJT-r18' or 'typeII-CJT-PortSelection-r18'</w:t>
            </w:r>
            <w:r>
              <w:rPr>
                <w:color w:val="000000"/>
                <w:szCs w:val="20"/>
                <w:lang w:val="en-GB" w:eastAsia="en-US"/>
              </w:rPr>
              <w: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pPr>
              <w:snapToGrid w:val="0"/>
              <w:spacing w:before="0" w:after="180" w:line="240" w:lineRule="auto"/>
              <w:rPr>
                <w:iCs/>
                <w:szCs w:val="20"/>
                <w:lang w:val="en-GB" w:eastAsia="en-US"/>
              </w:rPr>
            </w:pPr>
            <w:r>
              <w:rPr>
                <w:iCs/>
                <w:szCs w:val="20"/>
                <w:lang w:val="en-GB" w:eastAsia="en-US"/>
              </w:rPr>
              <w:t xml:space="preserve">For a </w:t>
            </w:r>
            <w:r>
              <w:rPr>
                <w:rFonts w:eastAsia="MS Mincho"/>
                <w:i/>
                <w:color w:val="000000"/>
                <w:szCs w:val="20"/>
                <w:lang w:val="en-GB" w:eastAsia="en-US"/>
              </w:rPr>
              <w:t>CSI-ReportConfig</w:t>
            </w:r>
            <w:r>
              <w:rPr>
                <w:rFonts w:eastAsia="MS Mincho"/>
                <w:color w:val="000000"/>
                <w:szCs w:val="20"/>
                <w:lang w:val="en-GB" w:eastAsia="en-US"/>
              </w:rPr>
              <w:t xml:space="preserve"> configured with </w:t>
            </w:r>
            <w:r>
              <w:rPr>
                <w:i/>
                <w:szCs w:val="20"/>
                <w:lang w:eastAsia="en-US"/>
              </w:rPr>
              <w:t>codebookType</w:t>
            </w:r>
            <w:r>
              <w:rPr>
                <w:szCs w:val="20"/>
                <w:lang w:eastAsia="en-US"/>
              </w:rPr>
              <w:t xml:space="preserve"> set to 'typeII-Doppler-r18' or 'typeII-Doppler-PortSelection-r18'</w:t>
            </w:r>
            <w:r>
              <w:rPr>
                <w:rFonts w:eastAsia="微软雅黑"/>
                <w:iCs/>
                <w:szCs w:val="20"/>
                <w:lang w:val="en-GB" w:eastAsia="en-US"/>
              </w:rPr>
              <w:t>,</w:t>
            </w:r>
            <w:r>
              <w:rPr>
                <w:rFonts w:hint="eastAsia"/>
                <w:iCs/>
                <w:szCs w:val="20"/>
                <w:lang w:val="en-GB" w:eastAsia="en-US"/>
              </w:rPr>
              <w:t xml:space="preserve"> </w:t>
            </w:r>
            <w:r>
              <w:rPr>
                <w:iCs/>
                <w:szCs w:val="20"/>
                <w:lang w:val="en-GB" w:eastAsia="en-US"/>
              </w:rPr>
              <w:t>after the CSI report</w:t>
            </w:r>
            <w:r>
              <w:rPr>
                <w:color w:val="000000"/>
                <w:szCs w:val="20"/>
                <w:lang w:val="en-GB" w:eastAsia="en-US"/>
              </w:rPr>
              <w:t xml:space="preserve"> (re)configuration, serving cell activation, BWP change, or activation of SP-CSI,</w:t>
            </w:r>
            <w:r>
              <w:rPr>
                <w:iCs/>
                <w:szCs w:val="20"/>
                <w:lang w:val="en-GB" w:eastAsia="en-US"/>
              </w:rPr>
              <w:t xml:space="preserve"> </w:t>
            </w:r>
            <w:r>
              <w:rPr>
                <w:rFonts w:hint="eastAsia"/>
                <w:iCs/>
                <w:szCs w:val="20"/>
                <w:lang w:val="en-GB" w:eastAsia="en-US"/>
              </w:rPr>
              <w:t xml:space="preserve">the UE reports a CSI report only if receiving at least </w:t>
            </w:r>
            <w:r>
              <w:rPr>
                <w:iCs/>
                <w:szCs w:val="20"/>
                <w:lang w:val="en-GB" w:eastAsia="en-US"/>
              </w:rPr>
              <w:t xml:space="preserve">one aperiodic or </w:t>
            </w:r>
            <m:oMath>
              <m:sSub>
                <m:sSubPr>
                  <m:ctrlPr>
                    <w:rPr>
                      <w:rFonts w:ascii="Cambria Math" w:hAnsi="Cambria Math"/>
                      <w:i/>
                      <w:iCs/>
                    </w:rPr>
                  </m:ctrlPr>
                </m:sSubPr>
                <m:e>
                  <m:r>
                    <m:rPr/>
                    <w:rPr>
                      <w:rFonts w:ascii="Cambria Math" w:hAnsi="Cambria Math"/>
                    </w:rPr>
                    <m:t>K</m:t>
                  </m:r>
                  <m:ctrlPr>
                    <w:rPr>
                      <w:rFonts w:ascii="Cambria Math" w:hAnsi="Cambria Math"/>
                      <w:i/>
                      <w:iCs/>
                    </w:rPr>
                  </m:ctrlPr>
                </m:e>
                <m:sub>
                  <m:r>
                    <m:rPr/>
                    <w:rPr>
                      <w:rFonts w:ascii="Cambria Math" w:hAnsi="Cambria Math"/>
                    </w:rPr>
                    <m:t>p</m:t>
                  </m:r>
                  <m:ctrlPr>
                    <w:rPr>
                      <w:rFonts w:ascii="Cambria Math" w:hAnsi="Cambria Math"/>
                      <w:i/>
                      <w:iCs/>
                    </w:rPr>
                  </m:ctrlPr>
                </m:sub>
              </m:sSub>
            </m:oMath>
            <w:r>
              <w:rPr>
                <w:iCs/>
                <w:szCs w:val="20"/>
                <w:lang w:val="en-GB" w:eastAsia="en-US"/>
              </w:rPr>
              <w:t xml:space="preserve"> periodic or semipersistent consecutive</w:t>
            </w:r>
            <w:r>
              <w:rPr>
                <w:rFonts w:hint="eastAsia"/>
                <w:iCs/>
                <w:szCs w:val="20"/>
                <w:lang w:val="en-GB" w:eastAsia="en-US"/>
              </w:rPr>
              <w:t xml:space="preserve"> CSI-RS transmission occasion</w:t>
            </w:r>
            <w:r>
              <w:rPr>
                <w:iCs/>
                <w:szCs w:val="20"/>
                <w:lang w:val="en-GB" w:eastAsia="en-US"/>
              </w:rPr>
              <w:t>s</w:t>
            </w:r>
            <w:r>
              <w:rPr>
                <w:rFonts w:hint="eastAsia"/>
                <w:iCs/>
                <w:szCs w:val="20"/>
                <w:lang w:val="en-GB" w:eastAsia="en-US"/>
              </w:rPr>
              <w:t xml:space="preserve"> for</w:t>
            </w:r>
            <w:r>
              <w:rPr>
                <w:iCs/>
                <w:szCs w:val="20"/>
                <w:lang w:val="en-GB" w:eastAsia="en-US"/>
              </w:rPr>
              <w:t xml:space="preserve"> each CSI-RS resource</w:t>
            </w:r>
            <w:r>
              <w:rPr>
                <w:rFonts w:hint="eastAsia"/>
                <w:iCs/>
                <w:szCs w:val="20"/>
                <w:lang w:val="en-GB" w:eastAsia="en-US"/>
              </w:rPr>
              <w:t xml:space="preserve"> </w:t>
            </w:r>
            <w:r>
              <w:rPr>
                <w:iCs/>
                <w:color w:val="000000"/>
                <w:szCs w:val="20"/>
                <w:lang w:val="en-GB" w:eastAsia="en-US"/>
              </w:rPr>
              <w:t>in the corresponding CSI-RS Resource Set for channel measurement</w:t>
            </w:r>
            <w:r>
              <w:rPr>
                <w:iCs/>
                <w:szCs w:val="20"/>
                <w:lang w:val="en-GB" w:eastAsia="en-US"/>
              </w:rPr>
              <w:t xml:space="preserve"> </w:t>
            </w:r>
            <w:r>
              <w:rPr>
                <w:iCs/>
                <w:color w:val="000000"/>
                <w:szCs w:val="20"/>
                <w:lang w:val="en-GB" w:eastAsia="en-US"/>
              </w:rPr>
              <w:t>and one CSI-RS</w:t>
            </w:r>
            <w:r>
              <w:rPr>
                <w:iCs/>
                <w:szCs w:val="20"/>
                <w:lang w:val="en-GB" w:eastAsia="en-US"/>
              </w:rPr>
              <w:t xml:space="preserve"> and/or CSI-IM resource transmission occasion for the CSI-RS and/or CSI-IM resource in the corresponding Resource Set for interference measurement </w:t>
            </w:r>
            <w:r>
              <w:rPr>
                <w:rFonts w:hint="eastAsia"/>
                <w:iCs/>
                <w:szCs w:val="20"/>
                <w:lang w:val="en-GB" w:eastAsia="en-US"/>
              </w:rPr>
              <w:t xml:space="preserve">no later than </w:t>
            </w:r>
            <w:r>
              <w:rPr>
                <w:iCs/>
                <w:szCs w:val="20"/>
                <w:lang w:val="en-GB" w:eastAsia="en-US"/>
              </w:rPr>
              <w:t xml:space="preserve">the </w:t>
            </w:r>
            <w:r>
              <w:rPr>
                <w:rFonts w:hint="eastAsia"/>
                <w:iCs/>
                <w:szCs w:val="20"/>
                <w:lang w:val="en-GB" w:eastAsia="en-US"/>
              </w:rPr>
              <w:t>CSI reference resource</w:t>
            </w:r>
            <w:r>
              <w:rPr>
                <w:color w:val="000000"/>
                <w:szCs w:val="20"/>
                <w:lang w:val="en-GB" w:eastAsia="en-US"/>
              </w:rPr>
              <w:t xml:space="preserve"> and within the same DRX Active Time, when DRX is configured,</w:t>
            </w:r>
            <w:r>
              <w:rPr>
                <w:rFonts w:hint="eastAsia"/>
                <w:iCs/>
                <w:szCs w:val="20"/>
                <w:lang w:val="en-GB" w:eastAsia="en-US"/>
              </w:rPr>
              <w:t xml:space="preserve"> </w:t>
            </w:r>
            <w:r>
              <w:rPr>
                <w:iCs/>
                <w:szCs w:val="20"/>
                <w:lang w:val="en-GB" w:eastAsia="en-US"/>
              </w:rPr>
              <w:t>and</w:t>
            </w:r>
            <w:r>
              <w:rPr>
                <w:rFonts w:hint="eastAsia"/>
                <w:iCs/>
                <w:szCs w:val="20"/>
                <w:lang w:val="en-GB" w:eastAsia="en-US"/>
              </w:rPr>
              <w:t xml:space="preserve"> drops the report otherwise</w:t>
            </w:r>
            <w:r>
              <w:rPr>
                <w:iCs/>
                <w:szCs w:val="20"/>
                <w:lang w:val="en-GB" w:eastAsia="en-US"/>
              </w:rPr>
              <w:t xml:space="preserve">. The value of </w:t>
            </w:r>
            <m:oMath>
              <m:sSub>
                <m:sSubPr>
                  <m:ctrlPr>
                    <w:rPr>
                      <w:rFonts w:ascii="Cambria Math" w:hAnsi="Cambria Math"/>
                      <w:i/>
                      <w:iCs/>
                    </w:rPr>
                  </m:ctrlPr>
                </m:sSubPr>
                <m:e>
                  <m:r>
                    <m:rPr/>
                    <w:rPr>
                      <w:rFonts w:ascii="Cambria Math" w:hAnsi="Cambria Math"/>
                    </w:rPr>
                    <m:t>K</m:t>
                  </m:r>
                  <m:ctrlPr>
                    <w:rPr>
                      <w:rFonts w:ascii="Cambria Math" w:hAnsi="Cambria Math"/>
                      <w:i/>
                      <w:iCs/>
                    </w:rPr>
                  </m:ctrlPr>
                </m:e>
                <m:sub>
                  <m:r>
                    <m:rPr/>
                    <w:rPr>
                      <w:rFonts w:ascii="Cambria Math" w:hAnsi="Cambria Math"/>
                    </w:rPr>
                    <m:t>p</m:t>
                  </m:r>
                  <m:ctrlPr>
                    <w:rPr>
                      <w:rFonts w:ascii="Cambria Math" w:hAnsi="Cambria Math"/>
                      <w:i/>
                      <w:iCs/>
                    </w:rPr>
                  </m:ctrlPr>
                </m:sub>
              </m:sSub>
              <m:r>
                <m:rPr/>
                <w:rPr>
                  <w:rFonts w:ascii="Cambria Math" w:hAnsi="Cambria Math"/>
                </w:rPr>
                <m:t>∈{1,2,4}</m:t>
              </m:r>
            </m:oMath>
            <w:r>
              <w:rPr>
                <w:iCs/>
                <w:szCs w:val="20"/>
                <w:lang w:val="en-GB" w:eastAsia="en-US"/>
              </w:rPr>
              <w:t xml:space="preserve"> is indicated by UE capability, as defined in clause 5.2.1.6.</w:t>
            </w:r>
          </w:p>
          <w:p>
            <w:pPr>
              <w:snapToGrid w:val="0"/>
              <w:spacing w:before="0" w:after="180" w:line="240" w:lineRule="auto"/>
              <w:rPr>
                <w:rFonts w:eastAsia="Batang"/>
                <w:szCs w:val="24"/>
              </w:rPr>
            </w:pPr>
            <w:r>
              <w:rPr>
                <w:iCs/>
                <w:szCs w:val="20"/>
                <w:lang w:val="en-GB" w:eastAsia="en-US"/>
              </w:rPr>
              <w:t xml:space="preserve">For a </w:t>
            </w:r>
            <w:r>
              <w:rPr>
                <w:rFonts w:eastAsia="MS Mincho"/>
                <w:i/>
                <w:color w:val="000000"/>
                <w:szCs w:val="20"/>
                <w:lang w:val="en-GB" w:eastAsia="en-US"/>
              </w:rPr>
              <w:t>CSI-ReportConfig</w:t>
            </w:r>
            <w:r>
              <w:rPr>
                <w:rFonts w:eastAsia="MS Mincho"/>
                <w:color w:val="000000"/>
                <w:szCs w:val="20"/>
                <w:lang w:val="en-GB" w:eastAsia="en-US"/>
              </w:rPr>
              <w:t xml:space="preserve"> configured with </w:t>
            </w:r>
            <w:r>
              <w:rPr>
                <w:color w:val="000000"/>
                <w:szCs w:val="20"/>
                <w:lang w:eastAsia="en-US"/>
              </w:rPr>
              <w:t xml:space="preserve">the higher layer parameter </w:t>
            </w:r>
            <w:r>
              <w:rPr>
                <w:i/>
                <w:iCs/>
                <w:color w:val="000000"/>
                <w:szCs w:val="20"/>
                <w:lang w:eastAsia="en-US"/>
              </w:rPr>
              <w:t xml:space="preserve">reportQuantity </w:t>
            </w:r>
            <w:r>
              <w:rPr>
                <w:iCs/>
                <w:color w:val="000000"/>
                <w:szCs w:val="20"/>
                <w:lang w:eastAsia="en-US"/>
              </w:rPr>
              <w:t xml:space="preserve">set to 'tdcp', after </w:t>
            </w:r>
            <w:r>
              <w:rPr>
                <w:iCs/>
                <w:szCs w:val="20"/>
                <w:lang w:val="en-GB" w:eastAsia="en-US"/>
              </w:rPr>
              <w:t xml:space="preserve">the CSI report </w:t>
            </w:r>
            <w:r>
              <w:rPr>
                <w:color w:val="000000"/>
                <w:szCs w:val="20"/>
                <w:lang w:val="en-GB" w:eastAsia="en-US"/>
              </w:rPr>
              <w:t xml:space="preserve">(re)configuration, serving cell activation, BWP change, the UE reports a CSI report only after receiving at least one CSI-RS transmission occasion for each CSI-RS resource in the </w:t>
            </w:r>
            <m:oMath>
              <m:sSub>
                <m:sSubPr>
                  <m:ctrlPr>
                    <w:rPr>
                      <w:rFonts w:ascii="Cambria Math" w:hAnsi="Cambria Math"/>
                      <w:i/>
                      <w:color w:val="000000"/>
                    </w:rPr>
                  </m:ctrlPr>
                </m:sSubPr>
                <m:e>
                  <m:r>
                    <m:rPr/>
                    <w:rPr>
                      <w:rFonts w:ascii="Cambria Math" w:hAnsi="Cambria Math"/>
                      <w:color w:val="000000"/>
                    </w:rPr>
                    <m:t>K</m:t>
                  </m:r>
                  <m:ctrlPr>
                    <w:rPr>
                      <w:rFonts w:ascii="Cambria Math" w:hAnsi="Cambria Math"/>
                      <w:i/>
                      <w:color w:val="000000"/>
                    </w:rPr>
                  </m:ctrlPr>
                </m:e>
                <m:sub>
                  <m:r>
                    <m:rPr/>
                    <w:rPr>
                      <w:rFonts w:ascii="Cambria Math" w:hAnsi="Cambria Math"/>
                      <w:color w:val="000000"/>
                    </w:rPr>
                    <m:t>TRS</m:t>
                  </m:r>
                  <m:ctrlPr>
                    <w:rPr>
                      <w:rFonts w:ascii="Cambria Math" w:hAnsi="Cambria Math"/>
                      <w:i/>
                      <w:color w:val="000000"/>
                    </w:rPr>
                  </m:ctrlPr>
                </m:sub>
              </m:sSub>
            </m:oMath>
            <w:r>
              <w:rPr>
                <w:color w:val="000000"/>
                <w:szCs w:val="20"/>
                <w:lang w:val="en-GB" w:eastAsia="en-US"/>
              </w:rPr>
              <w:t xml:space="preserve"> CSI-RS Resource Sets of the CSI-RS Resource Setting for channel measurement </w:t>
            </w:r>
            <w:r>
              <w:rPr>
                <w:rFonts w:hint="eastAsia"/>
                <w:iCs/>
                <w:szCs w:val="20"/>
                <w:lang w:val="en-GB" w:eastAsia="en-US"/>
              </w:rPr>
              <w:t xml:space="preserve">no later than </w:t>
            </w:r>
            <w:r>
              <w:rPr>
                <w:iCs/>
                <w:szCs w:val="20"/>
                <w:lang w:val="en-GB" w:eastAsia="en-US"/>
              </w:rPr>
              <w:t xml:space="preserve">the </w:t>
            </w:r>
            <w:r>
              <w:rPr>
                <w:rFonts w:hint="eastAsia"/>
                <w:iCs/>
                <w:szCs w:val="20"/>
                <w:lang w:val="en-GB" w:eastAsia="en-US"/>
              </w:rPr>
              <w:t>CSI reference resource</w:t>
            </w:r>
            <w:r>
              <w:rPr>
                <w:iCs/>
                <w:color w:val="000000"/>
                <w:szCs w:val="20"/>
                <w:lang w:val="en-GB" w:eastAsia="en-US"/>
              </w:rPr>
              <w:t xml:space="preserve"> within the same DRX active time, when DRX is configured, and drop the report otherwise.</w:t>
            </w:r>
          </w:p>
        </w:tc>
      </w:tr>
    </w:tbl>
    <w:p>
      <w:pPr>
        <w:pStyle w:val="112"/>
        <w:ind w:firstLine="0" w:firstLineChars="0"/>
        <w:rPr>
          <w:szCs w:val="24"/>
        </w:rPr>
      </w:pPr>
      <w:r>
        <w:rPr>
          <w:rFonts w:eastAsia="Batang"/>
          <w:szCs w:val="24"/>
        </w:rPr>
        <w:t xml:space="preserve">Similarly, </w:t>
      </w:r>
      <w:r>
        <w:rPr>
          <w:rFonts w:hint="eastAsia"/>
          <w:iCs/>
          <w:szCs w:val="20"/>
        </w:rPr>
        <w:t>the dropping rule for Rel-19 CJT calibration</w:t>
      </w:r>
      <w:r>
        <w:rPr>
          <w:rFonts w:eastAsia="Batang"/>
          <w:iCs/>
          <w:szCs w:val="20"/>
          <w:lang w:val="en-GB" w:eastAsia="en-US"/>
        </w:rPr>
        <w:t xml:space="preserve"> CSI</w:t>
      </w:r>
      <w:r>
        <w:rPr>
          <w:rFonts w:hint="eastAsia"/>
          <w:iCs/>
          <w:szCs w:val="20"/>
        </w:rPr>
        <w:t xml:space="preserve"> can f</w:t>
      </w:r>
      <w:r>
        <w:rPr>
          <w:rFonts w:eastAsiaTheme="minorEastAsia"/>
          <w:szCs w:val="24"/>
        </w:rPr>
        <w:t xml:space="preserve">ollow the legacy </w:t>
      </w:r>
      <w:r>
        <w:rPr>
          <w:rFonts w:hint="eastAsia"/>
        </w:rPr>
        <w:t>Rel-17/18 CSI</w:t>
      </w:r>
      <w:r>
        <w:rPr>
          <w:rFonts w:eastAsiaTheme="minorEastAsia"/>
          <w:szCs w:val="24"/>
        </w:rPr>
        <w:t xml:space="preserve"> dropping rule</w:t>
      </w:r>
      <w:r>
        <w:rPr>
          <w:rFonts w:hint="eastAsia" w:eastAsiaTheme="minorEastAsia"/>
          <w:szCs w:val="24"/>
        </w:rPr>
        <w:t>. Therefore, f</w:t>
      </w:r>
      <w:r>
        <w:t>or a CSI-</w:t>
      </w:r>
      <w:r>
        <w:rPr>
          <w:rFonts w:eastAsiaTheme="minorEastAsia"/>
          <w:szCs w:val="24"/>
        </w:rPr>
        <w:t>ReportConfig</w:t>
      </w:r>
      <w:r>
        <w:t xml:space="preserve"> configured with the higher layer parameter </w:t>
      </w:r>
      <w:r>
        <w:rPr>
          <w:i/>
          <w:iCs/>
        </w:rPr>
        <w:t>reportQuantity</w:t>
      </w:r>
      <w:r>
        <w:t xml:space="preserve"> set to 'DO/d, FO', after the CSI report(re)configuration, serving cell activation, BWP change, the UE reports a CSI report only after receiving at least one CSI-RS transmission occasion for each CSI-RS resource in the K</w:t>
      </w:r>
      <w:r>
        <w:rPr>
          <w:vertAlign w:val="subscript"/>
        </w:rPr>
        <w:t>TRS</w:t>
      </w:r>
      <w:r>
        <w:t xml:space="preserve"> CSI-RS </w:t>
      </w:r>
      <w:r>
        <w:rPr>
          <w:rFonts w:hint="eastAsia"/>
        </w:rPr>
        <w:t>r</w:t>
      </w:r>
      <w:r>
        <w:t xml:space="preserve">esource </w:t>
      </w:r>
      <w:r>
        <w:rPr>
          <w:rFonts w:hint="eastAsia"/>
        </w:rPr>
        <w:t>s</w:t>
      </w:r>
      <w:r>
        <w:t xml:space="preserve">ets of the CSI-RS </w:t>
      </w:r>
      <w:r>
        <w:rPr>
          <w:rFonts w:hint="eastAsia"/>
        </w:rPr>
        <w:t>r</w:t>
      </w:r>
      <w:r>
        <w:t xml:space="preserve">esource </w:t>
      </w:r>
      <w:r>
        <w:rPr>
          <w:rFonts w:hint="eastAsia"/>
        </w:rPr>
        <w:t>s</w:t>
      </w:r>
      <w:r>
        <w:t>etting</w:t>
      </w:r>
      <w:r>
        <w:rPr>
          <w:rFonts w:hint="eastAsia"/>
        </w:rPr>
        <w:t xml:space="preserve"> </w:t>
      </w:r>
      <w:r>
        <w:t>for channel measurement no later than the CSI reference resource within the same DRX active time, when DRX is configured, and drop the report otherwise</w:t>
      </w:r>
      <w:r>
        <w:rPr>
          <w:rFonts w:hint="eastAsia"/>
          <w:color w:val="000000"/>
          <w:szCs w:val="20"/>
        </w:rPr>
        <w:t>. Moreover, f</w:t>
      </w:r>
      <w:r>
        <w:t xml:space="preserve">or a CSI-ReportConfig configured with the higher layer parameter </w:t>
      </w:r>
      <w:r>
        <w:rPr>
          <w:i/>
        </w:rPr>
        <w:t>reportQuantity</w:t>
      </w:r>
      <w:r>
        <w:t xml:space="preserve"> set to 'PO', after the CSI report(re)configuration, serving cell activation, BWP change, the UE reports a CSI report only after receiving at least one CSI-RS transmission occasion for each CSI-RS resource in the CSI-RS </w:t>
      </w:r>
      <w:r>
        <w:rPr>
          <w:rFonts w:hint="eastAsia"/>
        </w:rPr>
        <w:t>r</w:t>
      </w:r>
      <w:r>
        <w:t xml:space="preserve">esource </w:t>
      </w:r>
      <w:r>
        <w:rPr>
          <w:rFonts w:hint="eastAsia"/>
        </w:rPr>
        <w:t>s</w:t>
      </w:r>
      <w:r>
        <w:t xml:space="preserve">et of the CSI-RS </w:t>
      </w:r>
      <w:r>
        <w:rPr>
          <w:rFonts w:hint="eastAsia"/>
        </w:rPr>
        <w:t>r</w:t>
      </w:r>
      <w:r>
        <w:t xml:space="preserve">esource </w:t>
      </w:r>
      <w:r>
        <w:rPr>
          <w:rFonts w:hint="eastAsia"/>
        </w:rPr>
        <w:t>s</w:t>
      </w:r>
      <w:r>
        <w:t>etting</w:t>
      </w:r>
      <w:r>
        <w:rPr>
          <w:rFonts w:hint="eastAsia"/>
        </w:rPr>
        <w:t xml:space="preserve"> </w:t>
      </w:r>
      <w:r>
        <w:t>for channel measurement no later than the CSI reference resource within the same DRX active time, when DRX is configured, and drop the report otherwise</w:t>
      </w:r>
      <w:r>
        <w:rPr>
          <w:rFonts w:hint="eastAsia"/>
        </w:rPr>
        <w:t>.</w:t>
      </w:r>
    </w:p>
    <w:p>
      <w:pPr>
        <w:pStyle w:val="112"/>
        <w:ind w:firstLine="0" w:firstLineChars="0"/>
        <w:rPr>
          <w:rFonts w:eastAsiaTheme="minorEastAsia"/>
          <w:i/>
          <w:iCs/>
          <w:szCs w:val="20"/>
        </w:rPr>
      </w:pPr>
      <w:r>
        <w:rPr>
          <w:rFonts w:hint="eastAsia" w:eastAsia="Batang"/>
          <w:b/>
          <w:bCs/>
          <w:i/>
          <w:iCs/>
          <w:szCs w:val="24"/>
        </w:rPr>
        <w:t>Proposal 14:</w:t>
      </w:r>
      <w:r>
        <w:rPr>
          <w:rFonts w:hint="eastAsia" w:eastAsia="Batang"/>
          <w:i/>
          <w:iCs/>
          <w:szCs w:val="24"/>
        </w:rPr>
        <w:t xml:space="preserve"> F</w:t>
      </w:r>
      <w:r>
        <w:rPr>
          <w:rFonts w:eastAsia="Batang"/>
          <w:i/>
          <w:iCs/>
          <w:szCs w:val="20"/>
          <w:lang w:val="en-GB" w:eastAsia="en-US"/>
        </w:rPr>
        <w:t>or the Rel-19 CRI-based CSI refinement for up to 128 CSI-RS ports</w:t>
      </w:r>
      <w:r>
        <w:rPr>
          <w:rFonts w:hint="eastAsia"/>
          <w:i/>
          <w:iCs/>
          <w:szCs w:val="20"/>
        </w:rPr>
        <w:t>, the</w:t>
      </w:r>
      <w:r>
        <w:rPr>
          <w:i/>
          <w:iCs/>
          <w:szCs w:val="20"/>
        </w:rPr>
        <w:t xml:space="preserve"> following</w:t>
      </w:r>
      <w:r>
        <w:rPr>
          <w:rFonts w:hint="eastAsia"/>
          <w:i/>
          <w:iCs/>
          <w:szCs w:val="20"/>
        </w:rPr>
        <w:t xml:space="preserve"> dropping rule </w:t>
      </w:r>
      <w:r>
        <w:rPr>
          <w:i/>
          <w:iCs/>
          <w:szCs w:val="20"/>
        </w:rPr>
        <w:t>should be supported</w:t>
      </w:r>
      <w:r>
        <w:rPr>
          <w:rFonts w:hint="eastAsia" w:eastAsiaTheme="minorEastAsia"/>
          <w:i/>
          <w:iCs/>
          <w:szCs w:val="24"/>
        </w:rPr>
        <w:t>.</w:t>
      </w:r>
    </w:p>
    <w:p>
      <w:pPr>
        <w:pStyle w:val="112"/>
        <w:numPr>
          <w:ilvl w:val="0"/>
          <w:numId w:val="13"/>
        </w:numPr>
        <w:snapToGrid w:val="0"/>
        <w:spacing w:before="0" w:after="0"/>
        <w:ind w:left="839" w:firstLineChars="0"/>
        <w:rPr>
          <w:i/>
          <w:iCs/>
        </w:rPr>
      </w:pPr>
      <w:r>
        <w:rPr>
          <w:i/>
          <w:iCs/>
        </w:rPr>
        <w:t>For a CSI-</w:t>
      </w:r>
      <w:r>
        <w:rPr>
          <w:rFonts w:eastAsiaTheme="minorEastAsia"/>
          <w:i/>
          <w:iCs/>
          <w:szCs w:val="24"/>
        </w:rPr>
        <w:t>ReportConfig</w:t>
      </w:r>
      <w:r>
        <w:rPr>
          <w:i/>
          <w:iCs/>
        </w:rPr>
        <w:t xml:space="preserve"> configured with the higher layer parameter reportQuantity set to 'DO/d, FO'</w:t>
      </w:r>
    </w:p>
    <w:p>
      <w:pPr>
        <w:pStyle w:val="112"/>
        <w:numPr>
          <w:ilvl w:val="1"/>
          <w:numId w:val="13"/>
        </w:numPr>
        <w:snapToGrid w:val="0"/>
        <w:spacing w:before="0" w:after="0"/>
        <w:ind w:left="1259" w:firstLineChars="0"/>
        <w:rPr>
          <w:i/>
          <w:iCs/>
        </w:rPr>
      </w:pPr>
      <w:r>
        <w:rPr>
          <w:rFonts w:hint="eastAsia"/>
          <w:i/>
          <w:iCs/>
        </w:rPr>
        <w:t>A</w:t>
      </w:r>
      <w:r>
        <w:rPr>
          <w:i/>
          <w:iCs/>
        </w:rPr>
        <w:t>fter the CSI report(re)configuration, serving cell activation, BWP change, the UE reports a CSI report only after receiving at least one CSI-RS transmission occasion for each CSI-RS resource in the K</w:t>
      </w:r>
      <w:r>
        <w:rPr>
          <w:i/>
          <w:iCs/>
          <w:vertAlign w:val="subscript"/>
        </w:rPr>
        <w:t>TRS</w:t>
      </w:r>
      <w:r>
        <w:rPr>
          <w:i/>
          <w:iCs/>
        </w:rPr>
        <w:t xml:space="preserve"> CSI-RS resource sets of the CSI-RS resource setting</w:t>
      </w:r>
      <w:r>
        <w:rPr>
          <w:rFonts w:hint="eastAsia"/>
          <w:i/>
          <w:iCs/>
        </w:rPr>
        <w:t xml:space="preserve"> </w:t>
      </w:r>
      <w:r>
        <w:rPr>
          <w:i/>
          <w:iCs/>
        </w:rPr>
        <w:t>for channel measurement no later than the CSI reference resource within the same DRX active time, when DRX is configured, and drop the report otherwise</w:t>
      </w:r>
      <w:r>
        <w:rPr>
          <w:rFonts w:hint="eastAsia"/>
          <w:i/>
          <w:iCs/>
        </w:rPr>
        <w:t>.</w:t>
      </w:r>
    </w:p>
    <w:p>
      <w:pPr>
        <w:pStyle w:val="112"/>
        <w:numPr>
          <w:ilvl w:val="0"/>
          <w:numId w:val="13"/>
        </w:numPr>
        <w:snapToGrid w:val="0"/>
        <w:spacing w:before="0" w:after="0"/>
        <w:ind w:left="839" w:firstLineChars="0"/>
        <w:rPr>
          <w:i/>
          <w:iCs/>
        </w:rPr>
      </w:pPr>
      <w:r>
        <w:rPr>
          <w:i/>
          <w:iCs/>
        </w:rPr>
        <w:t>For a CSI-ReportConfig configured with the higher layer parameter reportQuantity set to 'PO'</w:t>
      </w:r>
    </w:p>
    <w:p>
      <w:pPr>
        <w:pStyle w:val="112"/>
        <w:numPr>
          <w:ilvl w:val="1"/>
          <w:numId w:val="13"/>
        </w:numPr>
        <w:snapToGrid w:val="0"/>
        <w:spacing w:before="0" w:after="0"/>
        <w:ind w:left="1259" w:firstLineChars="0"/>
        <w:rPr>
          <w:rFonts w:eastAsia="Batang"/>
          <w:szCs w:val="24"/>
        </w:rPr>
      </w:pPr>
      <w:r>
        <w:rPr>
          <w:rFonts w:hint="eastAsia"/>
          <w:i/>
          <w:iCs/>
        </w:rPr>
        <w:t>A</w:t>
      </w:r>
      <w:r>
        <w:rPr>
          <w:i/>
          <w:iCs/>
        </w:rPr>
        <w:t>fter the CSI report(re)configuration, serving cell activation, BWP change, the UE reports a CSI report only after receiving at least one CSI-RS transmission occasion for each CSI-RS resource in the CSI-RS resource set of the CSI-RS resource setting</w:t>
      </w:r>
      <w:r>
        <w:rPr>
          <w:rFonts w:hint="eastAsia"/>
          <w:i/>
          <w:iCs/>
        </w:rPr>
        <w:t xml:space="preserve"> </w:t>
      </w:r>
      <w:r>
        <w:rPr>
          <w:i/>
          <w:iCs/>
        </w:rPr>
        <w:t>for channel measurement no later than the CSI reference resource within the same DRX active time, when DRX is configured, and drop the report otherwise</w:t>
      </w:r>
      <w:r>
        <w:rPr>
          <w:rFonts w:hint="eastAsia"/>
          <w:i/>
          <w:iCs/>
        </w:rPr>
        <w:t>.</w:t>
      </w:r>
    </w:p>
    <w:p>
      <w:pPr>
        <w:keepNext/>
        <w:widowControl w:val="0"/>
        <w:numPr>
          <w:ilvl w:val="0"/>
          <w:numId w:val="8"/>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pPr>
        <w:rPr>
          <w:rFonts w:eastAsia="微软雅黑"/>
          <w:i/>
          <w:szCs w:val="20"/>
        </w:rPr>
      </w:pPr>
      <w:r>
        <w:rPr>
          <w:rFonts w:hint="eastAsia"/>
          <w:b/>
          <w:i/>
        </w:rPr>
        <w:t>P</w:t>
      </w:r>
      <w:r>
        <w:rPr>
          <w:b/>
          <w:i/>
        </w:rPr>
        <w:t>roposal 1:</w:t>
      </w:r>
      <w:r>
        <w:rPr>
          <w:i/>
        </w:rPr>
        <w:t xml:space="preserve"> </w:t>
      </w:r>
      <w:r>
        <w:rPr>
          <w:rFonts w:hint="eastAsia" w:eastAsia="微软雅黑"/>
          <w:i/>
          <w:szCs w:val="20"/>
        </w:rPr>
        <w:t>For the Rel-19 Type-I SP codebook refinement for 48, 64, and 128 CSI-RS ports, extend the agreed Scheme-A and Scheme-B to the legacy number of CSI-RS ports (i.e. 4, 8, 12, 16, 24, and 32 ports) for all applicable RI values (1, ..., min(P</w:t>
      </w:r>
      <w:r>
        <w:rPr>
          <w:rFonts w:hint="eastAsia" w:eastAsia="微软雅黑"/>
          <w:i/>
          <w:szCs w:val="20"/>
          <w:vertAlign w:val="subscript"/>
        </w:rPr>
        <w:t>CSI-RS</w:t>
      </w:r>
      <w:r>
        <w:rPr>
          <w:rFonts w:hint="eastAsia" w:eastAsia="微软雅黑"/>
          <w:i/>
          <w:szCs w:val="20"/>
        </w:rPr>
        <w:t>, 8)) with K=1 only, and without an further modification/enhancement.</w:t>
      </w:r>
    </w:p>
    <w:p>
      <w:pPr>
        <w:snapToGrid w:val="0"/>
        <w:spacing w:beforeLines="50" w:afterLines="50" w:line="240" w:lineRule="exact"/>
        <w:contextualSpacing/>
        <w:jc w:val="left"/>
        <w:rPr>
          <w:bCs/>
          <w:iCs/>
          <w:szCs w:val="20"/>
        </w:rPr>
      </w:pPr>
      <w:r>
        <w:rPr>
          <w:b/>
          <w:i/>
          <w:color w:val="000000"/>
          <w:szCs w:val="20"/>
        </w:rPr>
        <w:t>Observation 1:</w:t>
      </w:r>
      <w:r>
        <w:rPr>
          <w:color w:val="000000"/>
          <w:szCs w:val="20"/>
        </w:rPr>
        <w:t xml:space="preserve"> </w:t>
      </w:r>
      <w:r>
        <w:rPr>
          <w:rFonts w:eastAsia="微软雅黑"/>
          <w:i/>
          <w:szCs w:val="20"/>
        </w:rPr>
        <w:t xml:space="preserve">The </w:t>
      </w:r>
      <w:r>
        <w:rPr>
          <w:rFonts w:eastAsia="微软雅黑"/>
          <w:i/>
          <w:szCs w:val="20"/>
          <w:lang w:val="en-GB"/>
        </w:rPr>
        <w:t>3-bit scaling factor cannot provide significant system performance gain</w:t>
      </w:r>
      <w:r>
        <w:rPr>
          <w:rFonts w:eastAsia="微软雅黑"/>
          <w:i/>
          <w:szCs w:val="20"/>
        </w:rPr>
        <w:t xml:space="preserve"> for </w:t>
      </w:r>
      <w:r>
        <w:rPr>
          <w:rFonts w:eastAsia="微软雅黑"/>
          <w:i/>
          <w:szCs w:val="20"/>
          <w:lang w:val="en-GB" w:eastAsia="en-US"/>
        </w:rPr>
        <w:t>RI=</w:t>
      </w:r>
      <w:r>
        <w:rPr>
          <w:rFonts w:eastAsia="微软雅黑"/>
          <w:i/>
          <w:szCs w:val="20"/>
          <w:lang w:val="en-GB" w:eastAsia="ja-JP"/>
        </w:rPr>
        <w:t xml:space="preserve"> </w:t>
      </w:r>
      <m:oMath>
        <m:r>
          <m:rPr/>
          <w:rPr>
            <w:rFonts w:ascii="Cambria Math" w:hAnsi="Cambria Math" w:eastAsia="微软雅黑"/>
            <w:szCs w:val="20"/>
            <w:lang w:val="en-GB" w:eastAsia="ja-JP"/>
          </w:rPr>
          <m:t>ϑ</m:t>
        </m:r>
      </m:oMath>
      <w:r>
        <w:rPr>
          <w:rFonts w:eastAsia="微软雅黑"/>
          <w:i/>
          <w:szCs w:val="20"/>
          <w:lang w:val="en-GB" w:eastAsia="en-US"/>
        </w:rPr>
        <w:t xml:space="preserve"> &gt;1</w:t>
      </w:r>
      <w:r>
        <w:rPr>
          <w:rFonts w:eastAsia="微软雅黑"/>
          <w:i/>
          <w:szCs w:val="20"/>
        </w:rPr>
        <w:t>.</w:t>
      </w:r>
    </w:p>
    <w:p>
      <w:pPr>
        <w:snapToGrid w:val="0"/>
        <w:spacing w:beforeLines="50" w:afterLines="50" w:line="240" w:lineRule="exact"/>
      </w:pPr>
      <w:r>
        <w:rPr>
          <w:b/>
          <w:i/>
          <w:color w:val="000000"/>
          <w:szCs w:val="20"/>
        </w:rPr>
        <w:t>Observation 2:</w:t>
      </w:r>
      <w:r>
        <w:rPr>
          <w:color w:val="000000"/>
          <w:szCs w:val="20"/>
        </w:rPr>
        <w:t xml:space="preserve"> </w:t>
      </w:r>
      <w:r>
        <w:rPr>
          <w:rFonts w:eastAsia="微软雅黑"/>
          <w:i/>
          <w:szCs w:val="20"/>
        </w:rPr>
        <w:t xml:space="preserve">In order to reduce the unnecessary power loss of the gNB, per-SD-basis-vector/layer power adjustment (including boosting) needs to be supported in addition. </w:t>
      </w:r>
    </w:p>
    <w:p>
      <w:pPr>
        <w:rPr>
          <w:rFonts w:eastAsia="微软雅黑"/>
          <w:i/>
          <w:szCs w:val="20"/>
        </w:rPr>
      </w:pPr>
      <w:r>
        <w:rPr>
          <w:rFonts w:hint="eastAsia"/>
          <w:b/>
          <w:i/>
        </w:rPr>
        <w:t>P</w:t>
      </w:r>
      <w:r>
        <w:rPr>
          <w:b/>
          <w:i/>
        </w:rPr>
        <w:t xml:space="preserve">roposal </w:t>
      </w:r>
      <w:r>
        <w:rPr>
          <w:rFonts w:hint="eastAsia"/>
          <w:b/>
          <w:i/>
        </w:rPr>
        <w:t>2</w:t>
      </w:r>
      <w:r>
        <w:rPr>
          <w:b/>
          <w:i/>
        </w:rPr>
        <w:t>:</w:t>
      </w:r>
      <w:r>
        <w:rPr>
          <w:i/>
        </w:rPr>
        <w:t xml:space="preserve"> </w:t>
      </w:r>
      <w:r>
        <w:rPr>
          <w:rFonts w:eastAsia="微软雅黑"/>
          <w:i/>
          <w:szCs w:val="20"/>
        </w:rPr>
        <w:t xml:space="preserve">Regarding </w:t>
      </w:r>
      <w:r>
        <w:rPr>
          <w:rFonts w:hint="eastAsia" w:eastAsia="微软雅黑"/>
          <w:i/>
          <w:szCs w:val="20"/>
        </w:rPr>
        <w:t xml:space="preserve">the </w:t>
      </w:r>
      <w:r>
        <w:rPr>
          <w:rFonts w:eastAsia="微软雅黑"/>
          <w:i/>
          <w:szCs w:val="20"/>
        </w:rPr>
        <w:t>3-bit scaling factor for Type-I codebook</w:t>
      </w:r>
      <w:r>
        <w:rPr>
          <w:rFonts w:hint="eastAsia" w:eastAsia="微软雅黑"/>
          <w:i/>
          <w:szCs w:val="20"/>
        </w:rPr>
        <w:t xml:space="preserve">, </w:t>
      </w:r>
    </w:p>
    <w:p>
      <w:pPr>
        <w:pStyle w:val="112"/>
        <w:numPr>
          <w:ilvl w:val="0"/>
          <w:numId w:val="13"/>
        </w:numPr>
        <w:snapToGrid w:val="0"/>
        <w:spacing w:before="0" w:after="0"/>
        <w:ind w:left="839" w:firstLineChars="0"/>
        <w:rPr>
          <w:i/>
          <w:iCs/>
          <w:lang w:val="en-GB"/>
        </w:rPr>
      </w:pPr>
      <w:r>
        <w:rPr>
          <w:rFonts w:hint="eastAsia"/>
          <w:i/>
          <w:iCs/>
          <w:lang w:val="en-GB"/>
        </w:rPr>
        <w:t>The 3-bit scaling factor is only applied for Rel-19 Scheme-A for RI = 1~4.</w:t>
      </w:r>
    </w:p>
    <w:p>
      <w:pPr>
        <w:pStyle w:val="112"/>
        <w:numPr>
          <w:ilvl w:val="0"/>
          <w:numId w:val="13"/>
        </w:numPr>
        <w:snapToGrid w:val="0"/>
        <w:spacing w:before="0" w:after="0"/>
        <w:ind w:left="839" w:firstLineChars="0"/>
        <w:rPr>
          <w:i/>
          <w:iCs/>
        </w:rPr>
      </w:pPr>
      <w:r>
        <w:rPr>
          <w:rFonts w:hint="eastAsia"/>
          <w:i/>
          <w:iCs/>
          <w:lang w:val="en-GB"/>
        </w:rPr>
        <w:t>To simplify the CSI calculation, only one non-one scaling factor can be applied, i.e., except the SD basis vectors being configured with a scaling factor = 1, all the other SD basis vectors are applied with a same scaling factor &lt; 1.</w:t>
      </w:r>
    </w:p>
    <w:p>
      <w:pPr>
        <w:pStyle w:val="112"/>
        <w:ind w:firstLine="0" w:firstLineChars="0"/>
        <w:rPr>
          <w:rFonts w:eastAsiaTheme="minorEastAsia"/>
          <w:i/>
          <w:iCs/>
          <w:szCs w:val="20"/>
        </w:rPr>
      </w:pPr>
      <w:r>
        <w:rPr>
          <w:rFonts w:hint="eastAsia" w:eastAsia="Batang"/>
          <w:b/>
          <w:bCs/>
          <w:i/>
          <w:iCs/>
          <w:szCs w:val="24"/>
        </w:rPr>
        <w:t>Proposal 3:</w:t>
      </w:r>
      <w:r>
        <w:rPr>
          <w:rFonts w:hint="eastAsia" w:eastAsia="Batang"/>
          <w:i/>
          <w:iCs/>
          <w:szCs w:val="24"/>
        </w:rPr>
        <w:t xml:space="preserve"> F</w:t>
      </w:r>
      <w:r>
        <w:rPr>
          <w:rFonts w:eastAsia="Batang"/>
          <w:i/>
          <w:iCs/>
          <w:szCs w:val="20"/>
          <w:lang w:val="en-GB" w:eastAsia="en-US"/>
        </w:rPr>
        <w:t xml:space="preserve">or </w:t>
      </w:r>
      <w:r>
        <w:rPr>
          <w:rFonts w:ascii="Times" w:hAnsi="Times" w:eastAsia="Batang"/>
          <w:i/>
          <w:iCs/>
          <w:szCs w:val="20"/>
          <w:lang w:val="en-GB" w:eastAsia="en-US"/>
        </w:rPr>
        <w:t>the Rel-19 Type-I and Type-II codebook refinement for 48, 64, and 128 CSI-RS ports</w:t>
      </w:r>
      <w:r>
        <w:rPr>
          <w:rFonts w:hint="eastAsia"/>
          <w:i/>
          <w:iCs/>
          <w:szCs w:val="20"/>
        </w:rPr>
        <w:t>,</w:t>
      </w:r>
      <w:r>
        <w:rPr>
          <w:i/>
          <w:iCs/>
          <w:szCs w:val="20"/>
        </w:rPr>
        <w:t xml:space="preserve"> the following C</w:t>
      </w:r>
      <w:r>
        <w:rPr>
          <w:rFonts w:hint="eastAsia"/>
          <w:i/>
          <w:iCs/>
          <w:szCs w:val="20"/>
        </w:rPr>
        <w:t xml:space="preserve">SI dropping rule </w:t>
      </w:r>
      <w:r>
        <w:rPr>
          <w:i/>
          <w:iCs/>
          <w:szCs w:val="20"/>
        </w:rPr>
        <w:t>is supported</w:t>
      </w:r>
      <w:r>
        <w:rPr>
          <w:rFonts w:hint="eastAsia" w:eastAsiaTheme="minorEastAsia"/>
          <w:i/>
          <w:iCs/>
          <w:szCs w:val="24"/>
        </w:rPr>
        <w:t>.</w:t>
      </w:r>
    </w:p>
    <w:p>
      <w:pPr>
        <w:pStyle w:val="112"/>
        <w:numPr>
          <w:ilvl w:val="0"/>
          <w:numId w:val="13"/>
        </w:numPr>
        <w:snapToGrid w:val="0"/>
        <w:spacing w:before="0" w:after="0"/>
        <w:ind w:left="839" w:firstLineChars="0"/>
        <w:rPr>
          <w:rFonts w:eastAsia="Batang"/>
        </w:rPr>
      </w:pPr>
      <w:r>
        <w:rPr>
          <w:rFonts w:hint="eastAsia"/>
          <w:i/>
          <w:iCs/>
        </w:rPr>
        <w:t>F</w:t>
      </w:r>
      <w:r>
        <w:rPr>
          <w:i/>
          <w:iCs/>
        </w:rPr>
        <w:t>or a CSI-ReportConfig configured with codebookType set to 'typeI-r19' or 'typeII-r19', after</w:t>
      </w:r>
      <w:r>
        <w:rPr>
          <w:rFonts w:hint="eastAsia"/>
          <w:i/>
          <w:iCs/>
        </w:rPr>
        <w:t xml:space="preserve"> </w:t>
      </w:r>
      <w:r>
        <w:rPr>
          <w:i/>
          <w:iCs/>
        </w:rPr>
        <w:t>the CSI report (re)configuration, serving cell activation, BWP change, or activation of SP-CSI, the UE reports a CSI report only after receiving at least one CSI-RS transmission occasion for each of the CSI-RS resources in the</w:t>
      </w:r>
      <w:r>
        <w:rPr>
          <w:rFonts w:hint="eastAsia"/>
          <w:i/>
          <w:iCs/>
        </w:rPr>
        <w:t xml:space="preserve"> </w:t>
      </w:r>
      <w:r>
        <w:rPr>
          <w:i/>
          <w:iCs/>
        </w:rPr>
        <w:t>corresponding CSI-RS resource set for channel measurement and at least one CSI-RS and/or CSI-IM resource transmission</w:t>
      </w:r>
      <w:r>
        <w:rPr>
          <w:rFonts w:hint="eastAsia"/>
          <w:i/>
          <w:iCs/>
        </w:rPr>
        <w:t xml:space="preserve"> </w:t>
      </w:r>
      <w:r>
        <w:rPr>
          <w:i/>
          <w:iCs/>
        </w:rPr>
        <w:t>occasion for each of the CSI-RS and/or CSI-IM resources in the corresponding resource set for interference measurement no</w:t>
      </w:r>
      <w:r>
        <w:rPr>
          <w:rFonts w:hint="eastAsia"/>
          <w:i/>
          <w:iCs/>
        </w:rPr>
        <w:t xml:space="preserve"> </w:t>
      </w:r>
      <w:r>
        <w:rPr>
          <w:i/>
          <w:iCs/>
        </w:rPr>
        <w:t xml:space="preserve">later than the CSI reference resource and within the same DRX </w:t>
      </w:r>
      <w:r>
        <w:rPr>
          <w:rFonts w:hint="eastAsia"/>
          <w:i/>
          <w:iCs/>
        </w:rPr>
        <w:t>a</w:t>
      </w:r>
      <w:r>
        <w:rPr>
          <w:i/>
          <w:iCs/>
        </w:rPr>
        <w:t xml:space="preserve">ctive </w:t>
      </w:r>
      <w:r>
        <w:rPr>
          <w:rFonts w:hint="eastAsia"/>
          <w:i/>
          <w:iCs/>
        </w:rPr>
        <w:t>t</w:t>
      </w:r>
      <w:r>
        <w:rPr>
          <w:i/>
          <w:iCs/>
        </w:rPr>
        <w:t>ime, when DRX is configured, and drops the</w:t>
      </w:r>
      <w:r>
        <w:rPr>
          <w:rFonts w:hint="eastAsia"/>
          <w:i/>
          <w:iCs/>
        </w:rPr>
        <w:t xml:space="preserve"> </w:t>
      </w:r>
      <w:r>
        <w:rPr>
          <w:i/>
          <w:iCs/>
        </w:rPr>
        <w:t>report otherwise</w:t>
      </w:r>
      <w:r>
        <w:rPr>
          <w:rFonts w:hint="eastAsia"/>
          <w:i/>
          <w:iCs/>
        </w:rPr>
        <w:t>.</w:t>
      </w:r>
    </w:p>
    <w:p>
      <w:pPr>
        <w:pStyle w:val="112"/>
        <w:ind w:firstLine="0" w:firstLineChars="0"/>
        <w:rPr>
          <w:i/>
          <w:iCs/>
          <w:szCs w:val="24"/>
        </w:rPr>
      </w:pPr>
      <w:r>
        <w:rPr>
          <w:rFonts w:hint="eastAsia"/>
          <w:b/>
          <w:bCs/>
          <w:i/>
          <w:iCs/>
          <w:szCs w:val="20"/>
        </w:rPr>
        <w:t>Proposal 4:</w:t>
      </w:r>
      <w:r>
        <w:rPr>
          <w:rFonts w:hint="eastAsia"/>
          <w:i/>
          <w:iCs/>
          <w:szCs w:val="20"/>
        </w:rPr>
        <w:t xml:space="preserve"> </w:t>
      </w:r>
      <w:r>
        <w:rPr>
          <w:rFonts w:eastAsia="Malgun Gothic"/>
          <w:i/>
          <w:iCs/>
          <w:szCs w:val="20"/>
          <w:lang w:val="en-GB" w:eastAsia="ko-KR"/>
        </w:rPr>
        <w:t xml:space="preserve">For the Rel-19 CRI-based CSI refinement for up to 128 CSI-RS ports, regarding </w:t>
      </w:r>
      <w:r>
        <w:rPr>
          <w:rFonts w:hint="eastAsia"/>
          <w:i/>
          <w:iCs/>
          <w:szCs w:val="20"/>
        </w:rPr>
        <w:t>indicating th</w:t>
      </w:r>
      <w:r>
        <w:rPr>
          <w:rFonts w:eastAsia="Batang"/>
          <w:i/>
          <w:iCs/>
          <w:szCs w:val="20"/>
          <w:lang w:val="en-GB" w:eastAsia="en-US"/>
        </w:rPr>
        <w:t>e M</w:t>
      </w:r>
      <w:r>
        <w:rPr>
          <w:rFonts w:eastAsia="Batang"/>
          <w:i/>
          <w:iCs/>
          <w:szCs w:val="20"/>
          <w:vertAlign w:val="subscript"/>
          <w:lang w:val="en-GB" w:eastAsia="en-US"/>
        </w:rPr>
        <w:t>R</w:t>
      </w:r>
      <w:r>
        <w:rPr>
          <w:rFonts w:eastAsia="Batang"/>
          <w:i/>
          <w:iCs/>
          <w:szCs w:val="20"/>
          <w:lang w:val="en-GB" w:eastAsia="en-US"/>
        </w:rPr>
        <w:t xml:space="preserve"> (&lt;M) of K</w:t>
      </w:r>
      <w:r>
        <w:rPr>
          <w:rFonts w:eastAsia="Batang"/>
          <w:i/>
          <w:iCs/>
          <w:szCs w:val="20"/>
          <w:vertAlign w:val="subscript"/>
          <w:lang w:val="en-GB" w:eastAsia="en-US"/>
        </w:rPr>
        <w:t>S</w:t>
      </w:r>
      <w:r>
        <w:rPr>
          <w:rFonts w:eastAsia="Batang"/>
          <w:i/>
          <w:iCs/>
          <w:szCs w:val="20"/>
          <w:lang w:val="en-GB" w:eastAsia="en-US"/>
        </w:rPr>
        <w:t xml:space="preserve"> CSI-RS resources selected as part of reporting the M “quadruplets”</w:t>
      </w:r>
      <w:r>
        <w:rPr>
          <w:rFonts w:hint="eastAsia"/>
          <w:i/>
          <w:iCs/>
          <w:szCs w:val="20"/>
        </w:rPr>
        <w:t>:</w:t>
      </w:r>
    </w:p>
    <w:p>
      <w:pPr>
        <w:pStyle w:val="112"/>
        <w:numPr>
          <w:ilvl w:val="0"/>
          <w:numId w:val="13"/>
        </w:numPr>
        <w:snapToGrid w:val="0"/>
        <w:spacing w:before="0" w:after="0"/>
        <w:ind w:left="839" w:firstLineChars="0"/>
        <w:rPr>
          <w:i/>
          <w:iCs/>
          <w:lang w:val="en-GB"/>
        </w:rPr>
      </w:pPr>
      <w:r>
        <w:rPr>
          <w:rFonts w:hint="eastAsia"/>
          <w:i/>
          <w:iCs/>
        </w:rPr>
        <w:t xml:space="preserve">The value of </w:t>
      </w:r>
      <w:r>
        <w:rPr>
          <w:rFonts w:eastAsia="Batang"/>
          <w:i/>
          <w:iCs/>
          <w:kern w:val="2"/>
          <w:szCs w:val="20"/>
          <w:lang w:val="en-GB"/>
        </w:rPr>
        <w:t>M</w:t>
      </w:r>
      <w:r>
        <w:rPr>
          <w:rFonts w:eastAsia="Batang"/>
          <w:i/>
          <w:iCs/>
          <w:kern w:val="2"/>
          <w:szCs w:val="20"/>
          <w:vertAlign w:val="subscript"/>
          <w:lang w:val="en-GB"/>
        </w:rPr>
        <w:t>R</w:t>
      </w:r>
      <w:r>
        <w:rPr>
          <w:rFonts w:hint="eastAsia"/>
          <w:i/>
          <w:iCs/>
        </w:rPr>
        <w:softHyphen/>
      </w:r>
      <w:r>
        <w:rPr>
          <w:rFonts w:hint="eastAsia"/>
          <w:i/>
          <w:iCs/>
        </w:rPr>
        <w:t xml:space="preserve"> is indicated by a RRC parameter.</w:t>
      </w:r>
    </w:p>
    <w:p>
      <w:pPr>
        <w:pStyle w:val="112"/>
        <w:numPr>
          <w:ilvl w:val="0"/>
          <w:numId w:val="13"/>
        </w:numPr>
        <w:snapToGrid w:val="0"/>
        <w:spacing w:before="0" w:after="0"/>
        <w:ind w:left="839" w:firstLineChars="0"/>
      </w:pPr>
      <w:r>
        <w:rPr>
          <w:rFonts w:hint="eastAsia" w:eastAsia="Batang"/>
          <w:i/>
          <w:iCs/>
          <w:kern w:val="2"/>
          <w:szCs w:val="20"/>
        </w:rPr>
        <w:t xml:space="preserve">The first </w:t>
      </w:r>
      <w:r>
        <w:rPr>
          <w:rFonts w:eastAsia="Batang"/>
          <w:i/>
          <w:iCs/>
          <w:kern w:val="2"/>
          <w:szCs w:val="20"/>
          <w:lang w:val="en-GB"/>
        </w:rPr>
        <w:t>M</w:t>
      </w:r>
      <w:r>
        <w:rPr>
          <w:rFonts w:eastAsia="Batang"/>
          <w:i/>
          <w:iCs/>
          <w:kern w:val="2"/>
          <w:szCs w:val="20"/>
          <w:vertAlign w:val="subscript"/>
          <w:lang w:val="en-GB"/>
        </w:rPr>
        <w:t>R</w:t>
      </w:r>
      <w:r>
        <w:rPr>
          <w:rFonts w:eastAsia="Batang"/>
          <w:i/>
          <w:iCs/>
          <w:kern w:val="2"/>
          <w:szCs w:val="20"/>
          <w:lang w:val="en-GB"/>
        </w:rPr>
        <w:t xml:space="preserve"> </w:t>
      </w:r>
      <w:r>
        <w:rPr>
          <w:rFonts w:eastAsia="Batang"/>
          <w:i/>
          <w:iCs/>
          <w:szCs w:val="20"/>
          <w:lang w:val="en-GB" w:eastAsia="en-US"/>
        </w:rPr>
        <w:t>CSI-RS</w:t>
      </w:r>
      <w:r>
        <w:rPr>
          <w:rFonts w:hint="eastAsia"/>
          <w:i/>
          <w:iCs/>
          <w:szCs w:val="20"/>
        </w:rPr>
        <w:t xml:space="preserve"> </w:t>
      </w:r>
      <w:r>
        <w:rPr>
          <w:rFonts w:eastAsia="Batang"/>
          <w:i/>
          <w:iCs/>
          <w:kern w:val="2"/>
          <w:szCs w:val="20"/>
          <w:lang w:val="en-GB"/>
        </w:rPr>
        <w:t>resources</w:t>
      </w:r>
      <w:r>
        <w:rPr>
          <w:rFonts w:hint="eastAsia" w:eastAsia="Batang"/>
          <w:i/>
          <w:iCs/>
          <w:kern w:val="2"/>
          <w:szCs w:val="20"/>
        </w:rPr>
        <w:t xml:space="preserve"> in the CSI-RS resource set are regarded as </w:t>
      </w:r>
      <w:r>
        <w:rPr>
          <w:rFonts w:hint="eastAsia"/>
          <w:i/>
          <w:iCs/>
          <w:szCs w:val="20"/>
        </w:rPr>
        <w:t>t</w:t>
      </w:r>
      <w:r>
        <w:rPr>
          <w:rFonts w:eastAsia="Batang"/>
          <w:i/>
          <w:iCs/>
          <w:kern w:val="2"/>
          <w:szCs w:val="20"/>
          <w:lang w:val="en-GB"/>
        </w:rPr>
        <w:t>he M</w:t>
      </w:r>
      <w:r>
        <w:rPr>
          <w:rFonts w:eastAsia="Batang"/>
          <w:i/>
          <w:iCs/>
          <w:kern w:val="2"/>
          <w:szCs w:val="20"/>
          <w:vertAlign w:val="subscript"/>
          <w:lang w:val="en-GB"/>
        </w:rPr>
        <w:t>R</w:t>
      </w:r>
      <w:r>
        <w:rPr>
          <w:rFonts w:eastAsia="Batang"/>
          <w:i/>
          <w:iCs/>
          <w:kern w:val="2"/>
          <w:szCs w:val="20"/>
          <w:lang w:val="en-GB"/>
        </w:rPr>
        <w:t xml:space="preserve"> selected resources</w:t>
      </w:r>
      <w:r>
        <w:rPr>
          <w:rFonts w:hint="eastAsia" w:eastAsia="Batang"/>
          <w:i/>
          <w:iCs/>
          <w:kern w:val="2"/>
          <w:szCs w:val="20"/>
        </w:rPr>
        <w:t>.</w:t>
      </w:r>
    </w:p>
    <w:p>
      <w:pPr>
        <w:pStyle w:val="112"/>
        <w:ind w:firstLine="0" w:firstLineChars="0"/>
        <w:rPr>
          <w:i/>
          <w:iCs/>
          <w:szCs w:val="24"/>
        </w:rPr>
      </w:pPr>
      <w:r>
        <w:rPr>
          <w:rFonts w:hint="eastAsia"/>
          <w:b/>
          <w:bCs/>
          <w:i/>
          <w:iCs/>
          <w:szCs w:val="20"/>
        </w:rPr>
        <w:t>Proposal 5:</w:t>
      </w:r>
      <w:r>
        <w:rPr>
          <w:rFonts w:hint="eastAsia"/>
          <w:i/>
          <w:iCs/>
          <w:szCs w:val="20"/>
        </w:rPr>
        <w:t xml:space="preserve"> </w:t>
      </w:r>
      <w:r>
        <w:rPr>
          <w:rFonts w:eastAsia="Malgun Gothic"/>
          <w:i/>
          <w:iCs/>
          <w:szCs w:val="20"/>
          <w:lang w:val="en-GB" w:eastAsia="ko-KR"/>
        </w:rPr>
        <w:t xml:space="preserve">For the Rel-19 CRI-based CSI refinement for up to 128 CSI-RS ports, regarding UCI omission for the UCI reported in </w:t>
      </w:r>
      <w:r>
        <w:rPr>
          <w:rFonts w:hint="eastAsia" w:eastAsiaTheme="minorEastAsia"/>
          <w:i/>
          <w:iCs/>
          <w:szCs w:val="24"/>
          <w:lang w:val="en-GB"/>
        </w:rPr>
        <w:t>C</w:t>
      </w:r>
      <w:r>
        <w:rPr>
          <w:rFonts w:eastAsiaTheme="minorEastAsia"/>
          <w:i/>
          <w:iCs/>
          <w:szCs w:val="24"/>
          <w:lang w:val="en-GB"/>
        </w:rPr>
        <w:t>SI part</w:t>
      </w:r>
      <w:r>
        <w:rPr>
          <w:rFonts w:hint="eastAsia" w:eastAsiaTheme="minorEastAsia"/>
          <w:i/>
          <w:iCs/>
          <w:szCs w:val="24"/>
        </w:rPr>
        <w:t>-</w:t>
      </w:r>
      <w:r>
        <w:rPr>
          <w:rFonts w:eastAsiaTheme="minorEastAsia"/>
          <w:i/>
          <w:iCs/>
          <w:szCs w:val="24"/>
          <w:lang w:val="en-GB"/>
        </w:rPr>
        <w:t>2 wideband/group-0</w:t>
      </w:r>
      <w:r>
        <w:rPr>
          <w:rFonts w:eastAsia="Malgun Gothic"/>
          <w:i/>
          <w:iCs/>
          <w:szCs w:val="20"/>
          <w:lang w:val="en-GB" w:eastAsia="ko-KR"/>
        </w:rPr>
        <w:t xml:space="preserve">, </w:t>
      </w:r>
      <w:r>
        <w:rPr>
          <w:rFonts w:hint="eastAsia" w:eastAsiaTheme="minorEastAsia"/>
          <w:i/>
          <w:iCs/>
          <w:szCs w:val="24"/>
          <w:lang w:val="en-GB"/>
        </w:rPr>
        <w:t>C</w:t>
      </w:r>
      <w:r>
        <w:rPr>
          <w:rFonts w:eastAsiaTheme="minorEastAsia"/>
          <w:i/>
          <w:iCs/>
          <w:szCs w:val="24"/>
          <w:lang w:val="en-GB"/>
        </w:rPr>
        <w:t>SI part</w:t>
      </w:r>
      <w:r>
        <w:rPr>
          <w:rFonts w:hint="eastAsia" w:eastAsiaTheme="minorEastAsia"/>
          <w:i/>
          <w:iCs/>
          <w:szCs w:val="24"/>
        </w:rPr>
        <w:t>-</w:t>
      </w:r>
      <w:r>
        <w:rPr>
          <w:rFonts w:eastAsiaTheme="minorEastAsia"/>
          <w:i/>
          <w:iCs/>
          <w:szCs w:val="24"/>
          <w:lang w:val="en-GB"/>
        </w:rPr>
        <w:t>2 wideband/group-0</w:t>
      </w:r>
      <w:r>
        <w:rPr>
          <w:rFonts w:eastAsia="Batang"/>
          <w:i/>
          <w:iCs/>
          <w:szCs w:val="20"/>
          <w:lang w:val="en-GB" w:eastAsia="en-US"/>
        </w:rPr>
        <w:t xml:space="preserve"> is either reported entirely or dropped entirely, with the following UCI packing order</w:t>
      </w:r>
      <w:r>
        <w:rPr>
          <w:rFonts w:hint="eastAsia"/>
          <w:i/>
          <w:iCs/>
          <w:szCs w:val="20"/>
        </w:rPr>
        <w:t>:</w:t>
      </w:r>
    </w:p>
    <w:p>
      <w:pPr>
        <w:pStyle w:val="112"/>
        <w:numPr>
          <w:ilvl w:val="0"/>
          <w:numId w:val="13"/>
        </w:numPr>
        <w:snapToGrid w:val="0"/>
        <w:spacing w:before="0" w:after="0"/>
        <w:ind w:left="839" w:firstLineChars="0"/>
        <w:rPr>
          <w:i/>
          <w:iCs/>
          <w:lang w:val="en-GB"/>
        </w:rPr>
      </w:pPr>
      <w:r>
        <w:rPr>
          <w:i/>
          <w:iCs/>
          <w:lang w:val="en-GB"/>
        </w:rPr>
        <w:t>CSI part</w:t>
      </w:r>
      <w:r>
        <w:rPr>
          <w:rFonts w:hint="eastAsia"/>
          <w:i/>
          <w:iCs/>
        </w:rPr>
        <w:t>-</w:t>
      </w:r>
      <w:r>
        <w:rPr>
          <w:i/>
          <w:iCs/>
          <w:lang w:val="en-GB"/>
        </w:rPr>
        <w:t xml:space="preserve">2 wideband/group-0 of the 1st configured CMR among the non-reported </w:t>
      </w:r>
      <m:oMath>
        <m:sSub>
          <m:sSubPr>
            <m:ctrlPr>
              <w:rPr>
                <w:rFonts w:ascii="Cambria Math" w:hAnsi="Cambria Math"/>
                <w:i/>
                <w:iCs/>
                <w:lang w:val="en-GB"/>
              </w:rPr>
            </m:ctrlPr>
          </m:sSubPr>
          <m:e>
            <m:r>
              <m:rPr/>
              <w:rPr>
                <w:rFonts w:ascii="Cambria Math" w:hAnsi="Cambria Math"/>
                <w:lang w:val="en-GB"/>
              </w:rPr>
              <m:t>M</m:t>
            </m:r>
            <m:ctrlPr>
              <w:rPr>
                <w:rFonts w:ascii="Cambria Math" w:hAnsi="Cambria Math"/>
                <w:i/>
                <w:iCs/>
                <w:lang w:val="en-GB"/>
              </w:rPr>
            </m:ctrlPr>
          </m:e>
          <m:sub>
            <m:r>
              <m:rPr/>
              <w:rPr>
                <w:rFonts w:ascii="Cambria Math" w:hAnsi="Cambria Math"/>
                <w:lang w:val="en-GB"/>
              </w:rPr>
              <m:t>R</m:t>
            </m:r>
            <m:ctrlPr>
              <w:rPr>
                <w:rFonts w:ascii="Cambria Math" w:hAnsi="Cambria Math"/>
                <w:i/>
                <w:iCs/>
                <w:lang w:val="en-GB"/>
              </w:rPr>
            </m:ctrlPr>
          </m:sub>
        </m:sSub>
      </m:oMath>
      <w:r>
        <w:rPr>
          <w:i/>
          <w:iCs/>
          <w:lang w:val="en-GB"/>
        </w:rPr>
        <w:t xml:space="preserve"> CRIs;</w:t>
      </w:r>
    </w:p>
    <w:p>
      <w:pPr>
        <w:pStyle w:val="112"/>
        <w:numPr>
          <w:ilvl w:val="0"/>
          <w:numId w:val="13"/>
        </w:numPr>
        <w:snapToGrid w:val="0"/>
        <w:spacing w:before="0" w:after="0"/>
        <w:ind w:left="839" w:firstLineChars="0"/>
        <w:rPr>
          <w:i/>
          <w:iCs/>
          <w:lang w:val="en-GB"/>
        </w:rPr>
      </w:pPr>
      <w:r>
        <w:rPr>
          <w:i/>
          <w:iCs/>
          <w:lang w:val="en-GB"/>
        </w:rPr>
        <w:t>…</w:t>
      </w:r>
    </w:p>
    <w:p>
      <w:pPr>
        <w:pStyle w:val="112"/>
        <w:numPr>
          <w:ilvl w:val="0"/>
          <w:numId w:val="13"/>
        </w:numPr>
        <w:snapToGrid w:val="0"/>
        <w:spacing w:before="0" w:after="0"/>
        <w:ind w:left="839" w:firstLineChars="0"/>
        <w:rPr>
          <w:i/>
          <w:iCs/>
          <w:lang w:val="en-GB"/>
        </w:rPr>
      </w:pPr>
      <w:r>
        <w:rPr>
          <w:i/>
          <w:iCs/>
          <w:lang w:val="en-GB"/>
        </w:rPr>
        <w:t>CSI part</w:t>
      </w:r>
      <w:r>
        <w:rPr>
          <w:rFonts w:hint="eastAsia"/>
          <w:i/>
          <w:iCs/>
        </w:rPr>
        <w:t>-</w:t>
      </w:r>
      <w:r>
        <w:rPr>
          <w:i/>
          <w:iCs/>
          <w:lang w:val="en-GB"/>
        </w:rPr>
        <w:t xml:space="preserve">2 wideband/group-0 of the last configured CMR among the non-reported </w:t>
      </w:r>
      <m:oMath>
        <m:sSub>
          <m:sSubPr>
            <m:ctrlPr>
              <w:rPr>
                <w:rFonts w:ascii="Cambria Math" w:hAnsi="Cambria Math"/>
                <w:i/>
                <w:iCs/>
                <w:lang w:val="en-GB"/>
              </w:rPr>
            </m:ctrlPr>
          </m:sSubPr>
          <m:e>
            <m:r>
              <m:rPr/>
              <w:rPr>
                <w:rFonts w:ascii="Cambria Math" w:hAnsi="Cambria Math"/>
                <w:lang w:val="en-GB"/>
              </w:rPr>
              <m:t>M</m:t>
            </m:r>
            <m:ctrlPr>
              <w:rPr>
                <w:rFonts w:ascii="Cambria Math" w:hAnsi="Cambria Math"/>
                <w:i/>
                <w:iCs/>
                <w:lang w:val="en-GB"/>
              </w:rPr>
            </m:ctrlPr>
          </m:e>
          <m:sub>
            <m:r>
              <m:rPr/>
              <w:rPr>
                <w:rFonts w:ascii="Cambria Math" w:hAnsi="Cambria Math"/>
                <w:lang w:val="en-GB"/>
              </w:rPr>
              <m:t>R</m:t>
            </m:r>
            <m:ctrlPr>
              <w:rPr>
                <w:rFonts w:ascii="Cambria Math" w:hAnsi="Cambria Math"/>
                <w:i/>
                <w:iCs/>
                <w:lang w:val="en-GB"/>
              </w:rPr>
            </m:ctrlPr>
          </m:sub>
        </m:sSub>
      </m:oMath>
      <w:r>
        <w:rPr>
          <w:i/>
          <w:iCs/>
          <w:lang w:val="en-GB"/>
        </w:rPr>
        <w:t xml:space="preserve"> CRIs;</w:t>
      </w:r>
    </w:p>
    <w:p>
      <w:pPr>
        <w:pStyle w:val="112"/>
        <w:numPr>
          <w:ilvl w:val="0"/>
          <w:numId w:val="13"/>
        </w:numPr>
        <w:snapToGrid w:val="0"/>
        <w:spacing w:before="0" w:after="0"/>
        <w:ind w:left="839" w:firstLineChars="0"/>
        <w:rPr>
          <w:i/>
          <w:iCs/>
          <w:lang w:val="en-GB"/>
        </w:rPr>
      </w:pPr>
      <w:r>
        <w:rPr>
          <w:i/>
          <w:iCs/>
          <w:lang w:val="en-GB"/>
        </w:rPr>
        <w:t>CSI part</w:t>
      </w:r>
      <w:r>
        <w:rPr>
          <w:rFonts w:hint="eastAsia"/>
          <w:i/>
          <w:iCs/>
        </w:rPr>
        <w:t>-</w:t>
      </w:r>
      <w:r>
        <w:rPr>
          <w:i/>
          <w:iCs/>
          <w:lang w:val="en-GB"/>
        </w:rPr>
        <w:t>2 wideband/group-0 of the 1st reported CRI;</w:t>
      </w:r>
    </w:p>
    <w:p>
      <w:pPr>
        <w:pStyle w:val="112"/>
        <w:numPr>
          <w:ilvl w:val="0"/>
          <w:numId w:val="13"/>
        </w:numPr>
        <w:snapToGrid w:val="0"/>
        <w:spacing w:before="0" w:after="0"/>
        <w:ind w:left="839" w:firstLineChars="0"/>
        <w:rPr>
          <w:i/>
          <w:iCs/>
          <w:lang w:val="en-GB"/>
        </w:rPr>
      </w:pPr>
      <w:r>
        <w:rPr>
          <w:i/>
          <w:iCs/>
          <w:lang w:val="en-GB"/>
        </w:rPr>
        <w:t>…</w:t>
      </w:r>
    </w:p>
    <w:p>
      <w:pPr>
        <w:pStyle w:val="112"/>
        <w:numPr>
          <w:ilvl w:val="0"/>
          <w:numId w:val="13"/>
        </w:numPr>
        <w:snapToGrid w:val="0"/>
        <w:spacing w:before="0" w:after="0"/>
        <w:ind w:left="839" w:firstLineChars="0"/>
        <w:rPr>
          <w:rFonts w:eastAsia="Batang"/>
          <w:szCs w:val="24"/>
          <w:lang w:val="en-GB"/>
        </w:rPr>
      </w:pPr>
      <w:r>
        <w:rPr>
          <w:i/>
          <w:iCs/>
          <w:lang w:val="en-GB"/>
        </w:rPr>
        <w:t>CSI part</w:t>
      </w:r>
      <w:r>
        <w:rPr>
          <w:rFonts w:hint="eastAsia"/>
          <w:i/>
          <w:iCs/>
        </w:rPr>
        <w:t>-</w:t>
      </w:r>
      <w:r>
        <w:rPr>
          <w:i/>
          <w:iCs/>
          <w:lang w:val="en-GB"/>
        </w:rPr>
        <w:t xml:space="preserve">2 wideband/group-0 of the </w:t>
      </w:r>
      <m:oMath>
        <m:d>
          <m:dPr>
            <m:ctrlPr>
              <w:rPr>
                <w:rFonts w:ascii="Cambria Math" w:hAnsi="Cambria Math"/>
                <w:i/>
                <w:iCs/>
                <w:lang w:val="en-GB"/>
              </w:rPr>
            </m:ctrlPr>
          </m:dPr>
          <m:e>
            <m:r>
              <m:rPr/>
              <w:rPr>
                <w:rFonts w:ascii="Cambria Math" w:hAnsi="Cambria Math"/>
                <w:lang w:val="en-GB"/>
              </w:rPr>
              <m:t>M−</m:t>
            </m:r>
            <m:sSub>
              <m:sSubPr>
                <m:ctrlPr>
                  <w:rPr>
                    <w:rFonts w:ascii="Cambria Math" w:hAnsi="Cambria Math"/>
                    <w:i/>
                    <w:iCs/>
                    <w:lang w:val="en-GB"/>
                  </w:rPr>
                </m:ctrlPr>
              </m:sSubPr>
              <m:e>
                <m:r>
                  <m:rPr/>
                  <w:rPr>
                    <w:rFonts w:ascii="Cambria Math" w:hAnsi="Cambria Math"/>
                    <w:lang w:val="en-GB"/>
                  </w:rPr>
                  <m:t>M</m:t>
                </m:r>
                <m:ctrlPr>
                  <w:rPr>
                    <w:rFonts w:ascii="Cambria Math" w:hAnsi="Cambria Math"/>
                    <w:i/>
                    <w:iCs/>
                    <w:lang w:val="en-GB"/>
                  </w:rPr>
                </m:ctrlPr>
              </m:e>
              <m:sub>
                <m:r>
                  <m:rPr/>
                  <w:rPr>
                    <w:rFonts w:ascii="Cambria Math" w:hAnsi="Cambria Math"/>
                    <w:lang w:val="en-GB"/>
                  </w:rPr>
                  <m:t>R</m:t>
                </m:r>
                <m:ctrlPr>
                  <w:rPr>
                    <w:rFonts w:ascii="Cambria Math" w:hAnsi="Cambria Math"/>
                    <w:i/>
                    <w:iCs/>
                    <w:lang w:val="en-GB"/>
                  </w:rPr>
                </m:ctrlPr>
              </m:sub>
            </m:sSub>
            <m:ctrlPr>
              <w:rPr>
                <w:rFonts w:ascii="Cambria Math" w:hAnsi="Cambria Math"/>
                <w:i/>
                <w:iCs/>
                <w:lang w:val="en-GB"/>
              </w:rPr>
            </m:ctrlPr>
          </m:e>
        </m:d>
      </m:oMath>
      <w:r>
        <w:rPr>
          <w:i/>
          <w:iCs/>
          <w:lang w:val="en-GB"/>
        </w:rPr>
        <w:t>-th reported CRI</w:t>
      </w:r>
      <w:r>
        <w:rPr>
          <w:rFonts w:hint="eastAsia"/>
          <w:i/>
          <w:iCs/>
        </w:rPr>
        <w:t>.</w:t>
      </w:r>
    </w:p>
    <w:p>
      <w:pPr>
        <w:pStyle w:val="112"/>
        <w:ind w:firstLine="0" w:firstLineChars="0"/>
        <w:rPr>
          <w:rFonts w:eastAsiaTheme="minorEastAsia"/>
          <w:i/>
          <w:iCs/>
          <w:szCs w:val="20"/>
        </w:rPr>
      </w:pPr>
      <w:r>
        <w:rPr>
          <w:rFonts w:hint="eastAsia" w:eastAsia="Batang"/>
          <w:b/>
          <w:bCs/>
          <w:i/>
          <w:iCs/>
          <w:szCs w:val="24"/>
        </w:rPr>
        <w:t>Proposal 6:</w:t>
      </w:r>
      <w:r>
        <w:rPr>
          <w:rFonts w:hint="eastAsia" w:eastAsia="Batang"/>
          <w:i/>
          <w:iCs/>
          <w:szCs w:val="24"/>
        </w:rPr>
        <w:t xml:space="preserve"> F</w:t>
      </w:r>
      <w:r>
        <w:rPr>
          <w:rFonts w:eastAsia="Batang"/>
          <w:i/>
          <w:iCs/>
          <w:szCs w:val="20"/>
          <w:lang w:val="en-GB" w:eastAsia="en-US"/>
        </w:rPr>
        <w:t>or the Rel-19 CRI-based CSI refinement for up to 128 CSI-RS ports</w:t>
      </w:r>
      <w:r>
        <w:rPr>
          <w:rFonts w:hint="eastAsia"/>
          <w:i/>
          <w:iCs/>
          <w:szCs w:val="20"/>
        </w:rPr>
        <w:t>,</w:t>
      </w:r>
      <w:r>
        <w:rPr>
          <w:i/>
          <w:iCs/>
          <w:szCs w:val="20"/>
        </w:rPr>
        <w:t xml:space="preserve"> the following C</w:t>
      </w:r>
      <w:r>
        <w:rPr>
          <w:rFonts w:hint="eastAsia"/>
          <w:i/>
          <w:iCs/>
          <w:szCs w:val="20"/>
        </w:rPr>
        <w:t xml:space="preserve">SI dropping rule </w:t>
      </w:r>
      <w:r>
        <w:rPr>
          <w:i/>
          <w:iCs/>
          <w:szCs w:val="20"/>
        </w:rPr>
        <w:t>is supported</w:t>
      </w:r>
      <w:r>
        <w:rPr>
          <w:rFonts w:hint="eastAsia" w:eastAsiaTheme="minorEastAsia"/>
          <w:i/>
          <w:iCs/>
          <w:szCs w:val="24"/>
        </w:rPr>
        <w:t>.</w:t>
      </w:r>
    </w:p>
    <w:p>
      <w:pPr>
        <w:pStyle w:val="112"/>
        <w:numPr>
          <w:ilvl w:val="0"/>
          <w:numId w:val="13"/>
        </w:numPr>
        <w:snapToGrid w:val="0"/>
        <w:spacing w:before="0" w:after="0"/>
        <w:ind w:left="839" w:firstLineChars="0"/>
      </w:pPr>
      <w:r>
        <w:rPr>
          <w:rFonts w:hint="eastAsia"/>
          <w:i/>
          <w:iCs/>
        </w:rPr>
        <w:t>A</w:t>
      </w:r>
      <w:r>
        <w:rPr>
          <w:i/>
          <w:iCs/>
          <w:lang w:val="en-GB" w:eastAsia="en-US"/>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
          <w:iCs/>
        </w:rPr>
        <w:t>r</w:t>
      </w:r>
      <w:r>
        <w:rPr>
          <w:i/>
          <w:iCs/>
          <w:lang w:val="en-GB" w:eastAsia="en-US"/>
        </w:rPr>
        <w:t xml:space="preserve">esource </w:t>
      </w:r>
      <w:r>
        <w:rPr>
          <w:rFonts w:hint="eastAsia"/>
          <w:i/>
          <w:iCs/>
        </w:rPr>
        <w:t>s</w:t>
      </w:r>
      <w:r>
        <w:rPr>
          <w:i/>
          <w:iCs/>
          <w:lang w:val="en-GB" w:eastAsia="en-US"/>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
          <w:iCs/>
        </w:rPr>
        <w:t>a</w:t>
      </w:r>
      <w:r>
        <w:rPr>
          <w:i/>
          <w:iCs/>
          <w:lang w:val="en-GB" w:eastAsia="en-US"/>
        </w:rPr>
        <w:t xml:space="preserve">ctive </w:t>
      </w:r>
      <w:r>
        <w:rPr>
          <w:rFonts w:hint="eastAsia"/>
          <w:i/>
          <w:iCs/>
        </w:rPr>
        <w:t>t</w:t>
      </w:r>
      <w:r>
        <w:rPr>
          <w:i/>
          <w:iCs/>
          <w:lang w:val="en-GB" w:eastAsia="en-US"/>
        </w:rPr>
        <w:t>ime, when DRX is configured, and drops the report otherwise</w:t>
      </w:r>
      <w:r>
        <w:rPr>
          <w:rFonts w:hint="eastAsia"/>
          <w:i/>
          <w:iCs/>
        </w:rPr>
        <w:t>.</w:t>
      </w:r>
    </w:p>
    <w:p>
      <w:pPr>
        <w:rPr>
          <w:rFonts w:eastAsia="微软雅黑"/>
          <w:i/>
          <w:szCs w:val="20"/>
        </w:rPr>
      </w:pPr>
      <w:r>
        <w:rPr>
          <w:rFonts w:hint="eastAsia"/>
          <w:b/>
          <w:i/>
        </w:rPr>
        <w:t>P</w:t>
      </w:r>
      <w:r>
        <w:rPr>
          <w:b/>
          <w:i/>
        </w:rPr>
        <w:t xml:space="preserve">roposal </w:t>
      </w:r>
      <w:r>
        <w:rPr>
          <w:rFonts w:hint="eastAsia"/>
          <w:b/>
          <w:i/>
        </w:rPr>
        <w:t>7</w:t>
      </w:r>
      <w:r>
        <w:rPr>
          <w:b/>
          <w:i/>
        </w:rPr>
        <w:t>:</w:t>
      </w:r>
      <w:r>
        <w:rPr>
          <w:i/>
        </w:rPr>
        <w:t xml:space="preserve"> </w:t>
      </w:r>
      <w:r>
        <w:rPr>
          <w:rFonts w:eastAsia="微软雅黑"/>
          <w:i/>
          <w:szCs w:val="20"/>
        </w:rPr>
        <w:t>Regarding</w:t>
      </w:r>
      <w:r>
        <w:rPr>
          <w:rFonts w:hint="eastAsia" w:eastAsia="微软雅黑"/>
          <w:i/>
          <w:szCs w:val="20"/>
        </w:rPr>
        <w:t xml:space="preserve"> the</w:t>
      </w:r>
      <w:r>
        <w:rPr>
          <w:rFonts w:eastAsia="微软雅黑"/>
          <w:i/>
          <w:szCs w:val="20"/>
        </w:rPr>
        <w:t xml:space="preserve"> </w:t>
      </w:r>
      <w:r>
        <w:rPr>
          <w:rFonts w:hint="eastAsia" w:eastAsia="微软雅黑"/>
          <w:i/>
          <w:szCs w:val="20"/>
        </w:rPr>
        <w:t>t</w:t>
      </w:r>
      <w:r>
        <w:rPr>
          <w:rFonts w:eastAsia="微软雅黑"/>
          <w:i/>
          <w:szCs w:val="20"/>
        </w:rPr>
        <w:t>imeline restrictions for PO measurement</w:t>
      </w:r>
      <w:r>
        <w:rPr>
          <w:rFonts w:hint="eastAsia" w:eastAsia="微软雅黑"/>
          <w:i/>
          <w:szCs w:val="20"/>
        </w:rPr>
        <w:t>,</w:t>
      </w:r>
    </w:p>
    <w:p>
      <w:pPr>
        <w:pStyle w:val="112"/>
        <w:numPr>
          <w:ilvl w:val="0"/>
          <w:numId w:val="13"/>
        </w:numPr>
        <w:snapToGrid w:val="0"/>
        <w:spacing w:before="0" w:after="0"/>
        <w:ind w:left="839" w:firstLineChars="0"/>
        <w:rPr>
          <w:i/>
          <w:iCs/>
          <w:lang w:val="en-GB"/>
        </w:rPr>
      </w:pPr>
      <w:r>
        <w:rPr>
          <w:rFonts w:hint="eastAsia"/>
          <w:i/>
          <w:iCs/>
          <w:lang w:val="en-GB"/>
        </w:rPr>
        <w:t>For P/SP SRS, the PO report is associated with the latest SRS transmission occasion before the DCI triggering the report;</w:t>
      </w:r>
    </w:p>
    <w:p>
      <w:pPr>
        <w:pStyle w:val="112"/>
        <w:numPr>
          <w:ilvl w:val="0"/>
          <w:numId w:val="13"/>
        </w:numPr>
        <w:snapToGrid w:val="0"/>
        <w:spacing w:before="0" w:after="0"/>
        <w:ind w:left="839" w:firstLineChars="0"/>
        <w:rPr>
          <w:i/>
          <w:iCs/>
          <w:lang w:val="en-GB"/>
        </w:rPr>
      </w:pPr>
      <w:r>
        <w:rPr>
          <w:rFonts w:hint="eastAsia"/>
          <w:i/>
          <w:iCs/>
          <w:lang w:val="en-GB"/>
        </w:rPr>
        <w:t>For AP SRS, the PO report is associated the SRS transmission occasion triggered no later than the DCI triggering the report.</w:t>
      </w:r>
    </w:p>
    <w:p>
      <w:pPr>
        <w:pStyle w:val="112"/>
        <w:numPr>
          <w:ilvl w:val="1"/>
          <w:numId w:val="13"/>
        </w:numPr>
        <w:ind w:firstLineChars="0"/>
        <w:rPr>
          <w:i/>
          <w:iCs/>
          <w:szCs w:val="20"/>
          <w:lang w:val="en-GB"/>
        </w:rPr>
      </w:pPr>
      <w:r>
        <w:rPr>
          <w:rFonts w:hint="eastAsia"/>
          <w:i/>
          <w:iCs/>
          <w:szCs w:val="20"/>
          <w:lang w:val="en-GB"/>
        </w:rPr>
        <w:t>When the PO report and the SRS are triggered by a same DCI, the PO report is associated with the simultaneously triggered SRS transmission occasion;</w:t>
      </w:r>
    </w:p>
    <w:p>
      <w:pPr>
        <w:pStyle w:val="112"/>
        <w:numPr>
          <w:ilvl w:val="1"/>
          <w:numId w:val="13"/>
        </w:numPr>
        <w:ind w:firstLineChars="0"/>
        <w:rPr>
          <w:i/>
          <w:iCs/>
          <w:szCs w:val="20"/>
          <w:lang w:val="en-GB"/>
        </w:rPr>
      </w:pPr>
      <w:r>
        <w:rPr>
          <w:rFonts w:hint="eastAsia"/>
          <w:i/>
          <w:iCs/>
          <w:szCs w:val="20"/>
          <w:lang w:val="en-GB"/>
        </w:rPr>
        <w:t>When the PO report and the SRS are triggered by two separate DCI, the PO report is associated with the latest SRS transmission occasion triggered before the DCI triggering the report.</w:t>
      </w:r>
    </w:p>
    <w:p>
      <w:pPr>
        <w:rPr>
          <w:rFonts w:eastAsia="微软雅黑"/>
          <w:i/>
          <w:szCs w:val="20"/>
        </w:rPr>
      </w:pPr>
      <w:r>
        <w:rPr>
          <w:rFonts w:hint="eastAsia"/>
          <w:b/>
          <w:i/>
        </w:rPr>
        <w:t>P</w:t>
      </w:r>
      <w:r>
        <w:rPr>
          <w:b/>
          <w:i/>
        </w:rPr>
        <w:t xml:space="preserve">roposal </w:t>
      </w:r>
      <w:r>
        <w:rPr>
          <w:rFonts w:hint="eastAsia"/>
          <w:b/>
          <w:i/>
        </w:rPr>
        <w:t>8</w:t>
      </w:r>
      <w:r>
        <w:rPr>
          <w:b/>
          <w:i/>
        </w:rPr>
        <w:t>:</w:t>
      </w:r>
      <w:r>
        <w:rPr>
          <w:i/>
        </w:rPr>
        <w:t xml:space="preserve"> </w:t>
      </w:r>
      <w:r>
        <w:rPr>
          <w:rFonts w:eastAsia="微软雅黑"/>
          <w:i/>
          <w:szCs w:val="20"/>
        </w:rPr>
        <w:t xml:space="preserve">Regarding </w:t>
      </w:r>
      <w:r>
        <w:rPr>
          <w:rFonts w:hint="eastAsia" w:eastAsia="微软雅黑"/>
          <w:i/>
          <w:szCs w:val="20"/>
        </w:rPr>
        <w:t xml:space="preserve">the limiting CSI overhead of </w:t>
      </w:r>
      <w:r>
        <w:rPr>
          <w:rFonts w:eastAsia="微软雅黑"/>
          <w:i/>
          <w:szCs w:val="20"/>
        </w:rPr>
        <w:t>sub-band</w:t>
      </w:r>
      <w:r>
        <w:rPr>
          <w:rFonts w:hint="eastAsia" w:eastAsia="微软雅黑"/>
          <w:i/>
          <w:szCs w:val="20"/>
        </w:rPr>
        <w:t xml:space="preserve"> PO reporting,</w:t>
      </w:r>
    </w:p>
    <w:p>
      <w:pPr>
        <w:pStyle w:val="112"/>
        <w:numPr>
          <w:ilvl w:val="0"/>
          <w:numId w:val="13"/>
        </w:numPr>
        <w:snapToGrid w:val="0"/>
        <w:spacing w:before="0" w:after="0"/>
        <w:ind w:left="839" w:firstLineChars="0"/>
        <w:rPr>
          <w:i/>
          <w:iCs/>
          <w:lang w:val="en-GB"/>
        </w:rPr>
      </w:pPr>
      <w:r>
        <w:rPr>
          <w:rFonts w:hint="eastAsia"/>
          <w:i/>
          <w:iCs/>
          <w:lang w:val="en-GB"/>
        </w:rPr>
        <w:t>Support limiting the maximum number of subbands as N</w:t>
      </w:r>
      <w:r>
        <w:rPr>
          <w:rFonts w:hint="eastAsia"/>
          <w:i/>
          <w:iCs/>
          <w:vertAlign w:val="subscript"/>
          <w:lang w:val="en-GB"/>
        </w:rPr>
        <w:t>SB-P, max</w:t>
      </w:r>
      <w:r>
        <w:rPr>
          <w:rFonts w:hint="eastAsia"/>
          <w:i/>
          <w:iCs/>
          <w:lang w:val="en-GB"/>
        </w:rPr>
        <w:t>, e.g., N</w:t>
      </w:r>
      <w:r>
        <w:rPr>
          <w:rFonts w:hint="eastAsia"/>
          <w:i/>
          <w:iCs/>
          <w:vertAlign w:val="subscript"/>
          <w:lang w:val="en-GB"/>
        </w:rPr>
        <w:t>SB-P, max</w:t>
      </w:r>
      <w:r>
        <w:rPr>
          <w:rFonts w:hint="eastAsia"/>
          <w:i/>
          <w:iCs/>
          <w:lang w:val="en-GB"/>
        </w:rPr>
        <w:t xml:space="preserve"> = 8.</w:t>
      </w:r>
    </w:p>
    <w:p>
      <w:pPr>
        <w:pStyle w:val="112"/>
        <w:numPr>
          <w:ilvl w:val="0"/>
          <w:numId w:val="13"/>
        </w:numPr>
        <w:snapToGrid w:val="0"/>
        <w:spacing w:before="0" w:after="0"/>
        <w:ind w:left="839" w:firstLineChars="0"/>
        <w:rPr>
          <w:i/>
          <w:iCs/>
          <w:lang w:val="en-GB"/>
        </w:rPr>
      </w:pPr>
      <w:r>
        <w:rPr>
          <w:rFonts w:hint="eastAsia"/>
          <w:i/>
          <w:iCs/>
          <w:lang w:val="en-GB"/>
        </w:rPr>
        <w:t xml:space="preserve">The subbands are </w:t>
      </w:r>
      <w:r>
        <w:rPr>
          <w:rFonts w:hint="eastAsia"/>
          <w:i/>
          <w:iCs/>
        </w:rPr>
        <w:t>configured/</w:t>
      </w:r>
      <w:r>
        <w:rPr>
          <w:rFonts w:hint="eastAsia"/>
          <w:i/>
          <w:iCs/>
          <w:lang w:val="en-GB"/>
        </w:rPr>
        <w:t>indicated by a bitmap with limited length Lmax (e.g., Lmax = 32).</w:t>
      </w:r>
    </w:p>
    <w:p>
      <w:pPr>
        <w:pStyle w:val="112"/>
        <w:numPr>
          <w:ilvl w:val="1"/>
          <w:numId w:val="13"/>
        </w:numPr>
        <w:ind w:firstLineChars="0"/>
        <w:rPr>
          <w:i/>
          <w:iCs/>
          <w:szCs w:val="20"/>
          <w:lang w:val="en-GB"/>
        </w:rPr>
      </w:pPr>
      <w:r>
        <w:rPr>
          <w:rFonts w:hint="eastAsia"/>
          <w:i/>
          <w:iCs/>
          <w:szCs w:val="20"/>
          <w:lang w:val="en-GB"/>
        </w:rPr>
        <w:t>When the total number of subbands is smaller or equal to Lmax, the bitmap length is equal to the total number of subbands;</w:t>
      </w:r>
    </w:p>
    <w:p>
      <w:pPr>
        <w:pStyle w:val="112"/>
        <w:numPr>
          <w:ilvl w:val="1"/>
          <w:numId w:val="13"/>
        </w:numPr>
        <w:ind w:firstLineChars="0"/>
        <w:rPr>
          <w:i/>
          <w:iCs/>
          <w:szCs w:val="20"/>
        </w:rPr>
      </w:pPr>
      <w:r>
        <w:rPr>
          <w:rFonts w:hint="eastAsia"/>
          <w:i/>
          <w:iCs/>
          <w:szCs w:val="20"/>
          <w:lang w:val="en-GB"/>
        </w:rPr>
        <w:t>When the total number of subbands is greater than Lmax, the bitmap length is equal to Lmax, and the bitmap is associated with the first Lmax subbands</w:t>
      </w:r>
      <w:r>
        <w:rPr>
          <w:rFonts w:hint="eastAsia"/>
          <w:i/>
          <w:iCs/>
          <w:szCs w:val="20"/>
        </w:rPr>
        <w:t>.</w:t>
      </w:r>
    </w:p>
    <w:p>
      <w:pPr>
        <w:snapToGrid w:val="0"/>
        <w:spacing w:before="72" w:beforeLines="30" w:after="72" w:afterLines="30" w:line="300" w:lineRule="auto"/>
        <w:textAlignment w:val="center"/>
      </w:pPr>
      <w:r>
        <w:rPr>
          <w:b/>
          <w:bCs/>
          <w:i/>
          <w:szCs w:val="20"/>
        </w:rPr>
        <w:t xml:space="preserve">Observation </w:t>
      </w:r>
      <w:r>
        <w:rPr>
          <w:rFonts w:hint="eastAsia"/>
          <w:b/>
          <w:bCs/>
          <w:i/>
          <w:szCs w:val="20"/>
        </w:rPr>
        <w:t>3</w:t>
      </w:r>
      <w:r>
        <w:rPr>
          <w:b/>
          <w:bCs/>
          <w:i/>
          <w:szCs w:val="20"/>
        </w:rPr>
        <w:t>:</w:t>
      </w:r>
      <w:r>
        <w:rPr>
          <w:bCs/>
          <w:i/>
          <w:szCs w:val="20"/>
        </w:rPr>
        <w:t xml:space="preserve"> UE-specific CJT DO/FO pre-compensation can significantly improve the throughput, especially for cell-edge UE.</w:t>
      </w:r>
    </w:p>
    <w:p>
      <w:pPr>
        <w:pStyle w:val="112"/>
        <w:ind w:firstLine="0" w:firstLineChars="0"/>
        <w:rPr>
          <w:rFonts w:eastAsia="Batang"/>
          <w:i/>
          <w:szCs w:val="20"/>
          <w:lang w:val="en-GB" w:eastAsia="en-US"/>
        </w:rPr>
      </w:pPr>
      <w:r>
        <w:rPr>
          <w:rFonts w:hint="eastAsia"/>
          <w:b/>
          <w:bCs/>
          <w:i/>
          <w:szCs w:val="20"/>
        </w:rPr>
        <w:t>Proposal</w:t>
      </w:r>
      <w:r>
        <w:rPr>
          <w:b/>
          <w:bCs/>
          <w:i/>
          <w:szCs w:val="20"/>
        </w:rPr>
        <w:t xml:space="preserve"> </w:t>
      </w:r>
      <w:r>
        <w:rPr>
          <w:rFonts w:hint="eastAsia"/>
          <w:b/>
          <w:bCs/>
          <w:i/>
          <w:szCs w:val="20"/>
        </w:rPr>
        <w:t>9</w:t>
      </w:r>
      <w:r>
        <w:rPr>
          <w:b/>
          <w:bCs/>
          <w:i/>
          <w:szCs w:val="20"/>
        </w:rPr>
        <w:t>:</w:t>
      </w:r>
      <w:r>
        <w:rPr>
          <w:bCs/>
          <w:i/>
          <w:szCs w:val="20"/>
        </w:rPr>
        <w:t xml:space="preserve"> </w:t>
      </w:r>
      <w:r>
        <w:rPr>
          <w:rFonts w:eastAsia="Calibri"/>
          <w:i/>
          <w:szCs w:val="20"/>
          <w:lang w:val="en-GB" w:eastAsia="en-US"/>
        </w:rPr>
        <w:t xml:space="preserve">For the Rel-19 aperiodic standalone CJT calibration (CJTC) reporting, to facilitate UE-specific </w:t>
      </w:r>
      <w:r>
        <w:rPr>
          <w:rFonts w:eastAsia="Batang"/>
          <w:i/>
          <w:szCs w:val="20"/>
          <w:lang w:val="en-GB" w:eastAsia="en-US"/>
        </w:rPr>
        <w:t xml:space="preserve">delay offset pre-compensation on PDSCH by the NW, </w:t>
      </w:r>
      <w:r>
        <w:rPr>
          <w:i/>
          <w:szCs w:val="20"/>
        </w:rPr>
        <w:t>the following working assumptions should be both confirmed.</w:t>
      </w:r>
    </w:p>
    <w:p>
      <w:pPr>
        <w:pStyle w:val="112"/>
        <w:numPr>
          <w:ilvl w:val="0"/>
          <w:numId w:val="13"/>
        </w:numPr>
        <w:snapToGrid w:val="0"/>
        <w:spacing w:before="0" w:after="0"/>
        <w:ind w:firstLineChars="0"/>
        <w:rPr>
          <w:i/>
        </w:rPr>
      </w:pPr>
      <w:r>
        <w:rPr>
          <w:i/>
        </w:rPr>
        <w:t>(Working Assumption) When separately triggered, the delay offset value to be compensated is the latest reported delay offset (DO) whose reporting instance’s last symbol is before the first symbol of DCI triggering of the CJT CSI reporting</w:t>
      </w:r>
      <w:r>
        <w:rPr>
          <w:rFonts w:hint="eastAsia"/>
          <w:i/>
        </w:rPr>
        <w:t>.</w:t>
      </w:r>
    </w:p>
    <w:p>
      <w:pPr>
        <w:pStyle w:val="112"/>
        <w:numPr>
          <w:ilvl w:val="1"/>
          <w:numId w:val="13"/>
        </w:numPr>
        <w:snapToGrid w:val="0"/>
        <w:spacing w:before="0" w:after="0"/>
        <w:ind w:firstLineChars="0"/>
        <w:rPr>
          <w:i/>
        </w:rPr>
      </w:pPr>
      <w:r>
        <w:rPr>
          <w:i/>
        </w:rPr>
        <w:t>FFS: whether some expiration time interval is needed</w:t>
      </w:r>
    </w:p>
    <w:p>
      <w:pPr>
        <w:pStyle w:val="112"/>
        <w:numPr>
          <w:ilvl w:val="0"/>
          <w:numId w:val="13"/>
        </w:numPr>
        <w:snapToGrid w:val="0"/>
        <w:spacing w:before="0" w:after="0"/>
        <w:ind w:firstLineChars="0"/>
        <w:rPr>
          <w:i/>
        </w:rPr>
      </w:pPr>
      <w:r>
        <w:rPr>
          <w:i/>
        </w:rPr>
        <w:t xml:space="preserve">(Working Assumption) When jointly triggered, the delay offset value to be compensated is the reported delay offset (DO) in the same reporting instance </w:t>
      </w:r>
      <w:r>
        <w:rPr>
          <w:rFonts w:hint="eastAsia"/>
          <w:i/>
        </w:rPr>
        <w:t>.</w:t>
      </w:r>
    </w:p>
    <w:p>
      <w:pPr>
        <w:pStyle w:val="112"/>
        <w:snapToGrid w:val="0"/>
        <w:spacing w:beforeLines="50" w:afterLines="50" w:line="240" w:lineRule="exact"/>
        <w:ind w:firstLine="0" w:firstLineChars="0"/>
        <w:rPr>
          <w:rFonts w:eastAsia="Batang"/>
          <w:i/>
          <w:szCs w:val="20"/>
          <w:lang w:val="en-GB" w:eastAsia="en-US"/>
        </w:rPr>
      </w:pPr>
      <w:r>
        <w:rPr>
          <w:rFonts w:hint="eastAsia"/>
          <w:b/>
          <w:bCs/>
          <w:i/>
          <w:szCs w:val="20"/>
        </w:rPr>
        <w:t>Proposal</w:t>
      </w:r>
      <w:r>
        <w:rPr>
          <w:b/>
          <w:bCs/>
          <w:i/>
          <w:szCs w:val="20"/>
        </w:rPr>
        <w:t xml:space="preserve"> </w:t>
      </w:r>
      <w:r>
        <w:rPr>
          <w:rFonts w:hint="eastAsia"/>
          <w:b/>
          <w:bCs/>
          <w:i/>
          <w:szCs w:val="20"/>
        </w:rPr>
        <w:t>10</w:t>
      </w:r>
      <w:r>
        <w:rPr>
          <w:b/>
          <w:bCs/>
          <w:i/>
          <w:szCs w:val="20"/>
        </w:rPr>
        <w:t>:</w:t>
      </w:r>
      <w:r>
        <w:rPr>
          <w:bCs/>
          <w:i/>
          <w:szCs w:val="20"/>
        </w:rPr>
        <w:t xml:space="preserve"> </w:t>
      </w:r>
      <w:r>
        <w:rPr>
          <w:rFonts w:eastAsia="Calibri"/>
          <w:i/>
          <w:szCs w:val="20"/>
          <w:lang w:val="en-GB" w:eastAsia="en-US"/>
        </w:rPr>
        <w:t xml:space="preserve">For the Rel-19 aperiodic standalone CJT calibration (CJTC) reporting, to facilitate UE-specific </w:t>
      </w:r>
      <w:r>
        <w:rPr>
          <w:rFonts w:eastAsia="Batang"/>
          <w:i/>
          <w:szCs w:val="20"/>
          <w:lang w:val="en-GB" w:eastAsia="en-US"/>
        </w:rPr>
        <w:t>delay offset pre-compensation on PDSCH by the NW, explicit configuration of DO in addition to the separate/joint triggering should be supported.</w:t>
      </w:r>
    </w:p>
    <w:p>
      <w:pPr>
        <w:pStyle w:val="112"/>
        <w:numPr>
          <w:ilvl w:val="0"/>
          <w:numId w:val="13"/>
        </w:numPr>
        <w:snapToGrid w:val="0"/>
        <w:spacing w:before="0" w:after="0"/>
        <w:ind w:left="839" w:firstLineChars="0"/>
        <w:rPr>
          <w:i/>
          <w:iCs/>
        </w:rPr>
      </w:pPr>
      <w:r>
        <w:rPr>
          <w:rFonts w:hint="eastAsia"/>
          <w:i/>
          <w:iCs/>
          <w:szCs w:val="20"/>
        </w:rPr>
        <w:t>RRC can be considered as a starting point.</w:t>
      </w:r>
    </w:p>
    <w:p>
      <w:pPr>
        <w:pStyle w:val="112"/>
        <w:numPr>
          <w:ilvl w:val="0"/>
          <w:numId w:val="13"/>
        </w:numPr>
        <w:snapToGrid w:val="0"/>
        <w:spacing w:before="0" w:after="0"/>
        <w:ind w:left="839" w:firstLineChars="0"/>
        <w:rPr>
          <w:szCs w:val="20"/>
        </w:rPr>
      </w:pPr>
      <w:r>
        <w:rPr>
          <w:rFonts w:hint="eastAsia"/>
          <w:i/>
          <w:iCs/>
          <w:szCs w:val="20"/>
        </w:rPr>
        <w:t>MAC-CE may have some benefit of low-latency and low-signaling overhead.</w:t>
      </w:r>
    </w:p>
    <w:p>
      <w:pPr>
        <w:pStyle w:val="112"/>
        <w:snapToGrid w:val="0"/>
        <w:spacing w:beforeLines="50" w:afterLines="50" w:line="240" w:lineRule="exact"/>
        <w:ind w:firstLine="0" w:firstLineChars="0"/>
        <w:rPr>
          <w:rFonts w:eastAsia="Batang"/>
          <w:i/>
          <w:szCs w:val="20"/>
          <w:lang w:val="en-GB" w:eastAsia="en-US"/>
        </w:rPr>
      </w:pPr>
      <w:r>
        <w:rPr>
          <w:rFonts w:hint="eastAsia"/>
          <w:b/>
          <w:bCs/>
          <w:i/>
          <w:szCs w:val="20"/>
        </w:rPr>
        <w:t>Proposal</w:t>
      </w:r>
      <w:r>
        <w:rPr>
          <w:b/>
          <w:bCs/>
          <w:i/>
          <w:szCs w:val="20"/>
        </w:rPr>
        <w:t xml:space="preserve"> </w:t>
      </w:r>
      <w:r>
        <w:rPr>
          <w:rFonts w:hint="eastAsia"/>
          <w:b/>
          <w:bCs/>
          <w:i/>
          <w:szCs w:val="20"/>
        </w:rPr>
        <w:t>11</w:t>
      </w:r>
      <w:r>
        <w:rPr>
          <w:b/>
          <w:bCs/>
          <w:i/>
          <w:szCs w:val="20"/>
        </w:rPr>
        <w:t>:</w:t>
      </w:r>
      <w:r>
        <w:rPr>
          <w:bCs/>
          <w:i/>
          <w:szCs w:val="20"/>
        </w:rPr>
        <w:t xml:space="preserve"> </w:t>
      </w:r>
      <w:r>
        <w:rPr>
          <w:rFonts w:eastAsia="Calibri"/>
          <w:i/>
          <w:szCs w:val="20"/>
          <w:lang w:val="en-GB" w:eastAsia="en-US"/>
        </w:rPr>
        <w:t xml:space="preserve">For the Rel-19 aperiodic standalone CJT calibration (CJTC) reporting, </w:t>
      </w:r>
      <w:r>
        <w:rPr>
          <w:rFonts w:hint="eastAsia"/>
          <w:i/>
          <w:szCs w:val="20"/>
        </w:rPr>
        <w:t xml:space="preserve">regarding timeline restrictions of separate/joint triggering </w:t>
      </w:r>
      <w:r>
        <w:rPr>
          <w:rFonts w:eastAsia="Calibri"/>
          <w:i/>
          <w:szCs w:val="20"/>
          <w:lang w:val="en-GB" w:eastAsia="en-US"/>
        </w:rPr>
        <w:t xml:space="preserve">to facilitate UE-specific </w:t>
      </w:r>
      <w:r>
        <w:rPr>
          <w:rFonts w:eastAsia="Batang"/>
          <w:i/>
          <w:szCs w:val="20"/>
          <w:lang w:val="en-GB" w:eastAsia="en-US"/>
        </w:rPr>
        <w:t>delay offset pre-compensation, the following should be supported</w:t>
      </w:r>
    </w:p>
    <w:p>
      <w:pPr>
        <w:pStyle w:val="112"/>
        <w:numPr>
          <w:ilvl w:val="0"/>
          <w:numId w:val="13"/>
        </w:numPr>
        <w:snapToGrid w:val="0"/>
        <w:spacing w:beforeLines="50" w:afterLines="50" w:line="240" w:lineRule="exact"/>
        <w:ind w:left="839" w:firstLineChars="0"/>
        <w:rPr>
          <w:i/>
        </w:rPr>
      </w:pPr>
      <w:r>
        <w:rPr>
          <w:bCs/>
          <w:i/>
          <w:szCs w:val="20"/>
          <w:lang w:val="en-GB" w:eastAsia="en-US"/>
        </w:rPr>
        <w:t>Regarding separately triggering</w:t>
      </w:r>
    </w:p>
    <w:p>
      <w:pPr>
        <w:pStyle w:val="112"/>
        <w:numPr>
          <w:ilvl w:val="1"/>
          <w:numId w:val="13"/>
        </w:numPr>
        <w:snapToGrid w:val="0"/>
        <w:spacing w:beforeLines="50" w:afterLines="50" w:line="240" w:lineRule="exact"/>
        <w:ind w:left="1259" w:firstLineChars="0"/>
        <w:rPr>
          <w:i/>
        </w:rPr>
      </w:pPr>
      <w:r>
        <w:rPr>
          <w:rFonts w:hint="eastAsia"/>
          <w:i/>
          <w:szCs w:val="20"/>
        </w:rPr>
        <w:t>For AP CJT calibration report and SP CJT Type-II report, the CJT Type-II report is associated with the latest CJT calibration report before the first symbol of the CSI reference resource.</w:t>
      </w:r>
    </w:p>
    <w:p>
      <w:pPr>
        <w:pStyle w:val="112"/>
        <w:numPr>
          <w:ilvl w:val="1"/>
          <w:numId w:val="13"/>
        </w:numPr>
        <w:snapToGrid w:val="0"/>
        <w:spacing w:beforeLines="50" w:afterLines="50" w:line="240" w:lineRule="exact"/>
        <w:ind w:left="1259" w:firstLineChars="0"/>
        <w:rPr>
          <w:i/>
          <w:szCs w:val="20"/>
        </w:rPr>
      </w:pPr>
      <w:r>
        <w:rPr>
          <w:rFonts w:hint="eastAsia"/>
          <w:i/>
          <w:szCs w:val="20"/>
        </w:rPr>
        <w:t>UE only reports a valid CJT Type-II report if there is at least one valid DO report within the expiration time interval (e.g., 50ms) before the first symbol of the DCI triggering the CJT Type-II report (for AP CJT Type-II report) or the CSI reference resource (for SP CJT Type-II report), otherwise, UE drops the CJT Type-II report.</w:t>
      </w:r>
    </w:p>
    <w:p>
      <w:pPr>
        <w:pStyle w:val="112"/>
        <w:numPr>
          <w:ilvl w:val="0"/>
          <w:numId w:val="13"/>
        </w:numPr>
        <w:snapToGrid w:val="0"/>
        <w:spacing w:beforeLines="50" w:afterLines="50" w:line="240" w:lineRule="exact"/>
        <w:ind w:left="839" w:firstLineChars="0"/>
        <w:rPr>
          <w:i/>
        </w:rPr>
      </w:pPr>
      <w:r>
        <w:rPr>
          <w:bCs/>
          <w:i/>
          <w:szCs w:val="20"/>
          <w:lang w:val="en-GB" w:eastAsia="en-US"/>
        </w:rPr>
        <w:t>Regarding jointly triggering</w:t>
      </w:r>
    </w:p>
    <w:p>
      <w:pPr>
        <w:pStyle w:val="112"/>
        <w:numPr>
          <w:ilvl w:val="1"/>
          <w:numId w:val="13"/>
        </w:numPr>
        <w:snapToGrid w:val="0"/>
        <w:spacing w:beforeLines="50" w:afterLines="50" w:line="240" w:lineRule="exact"/>
        <w:ind w:left="1259" w:firstLineChars="0"/>
        <w:rPr>
          <w:rFonts w:eastAsiaTheme="minorEastAsia"/>
          <w:szCs w:val="24"/>
          <w:lang w:val="en-GB"/>
        </w:rPr>
      </w:pPr>
      <w:r>
        <w:rPr>
          <w:rFonts w:hint="eastAsia"/>
          <w:i/>
          <w:szCs w:val="20"/>
        </w:rPr>
        <w:t>Extending Z/Z</w:t>
      </w:r>
      <w:r>
        <w:rPr>
          <w:i/>
          <w:szCs w:val="20"/>
        </w:rPr>
        <w:t>’</w:t>
      </w:r>
      <w:r>
        <w:rPr>
          <w:rFonts w:hint="eastAsia"/>
          <w:i/>
          <w:szCs w:val="20"/>
        </w:rPr>
        <w:t xml:space="preserve"> as (Z</w:t>
      </w:r>
      <w:r>
        <w:rPr>
          <w:rFonts w:hint="eastAsia"/>
          <w:i/>
          <w:szCs w:val="20"/>
          <w:vertAlign w:val="subscript"/>
        </w:rPr>
        <w:t>CJT-C</w:t>
      </w:r>
      <w:r>
        <w:rPr>
          <w:rFonts w:hint="eastAsia"/>
          <w:i/>
          <w:szCs w:val="20"/>
        </w:rPr>
        <w:t>+Z</w:t>
      </w:r>
      <w:r>
        <w:rPr>
          <w:rFonts w:hint="eastAsia"/>
          <w:i/>
          <w:szCs w:val="20"/>
          <w:vertAlign w:val="subscript"/>
        </w:rPr>
        <w:t>CJT</w:t>
      </w:r>
      <w:r>
        <w:rPr>
          <w:rFonts w:hint="eastAsia"/>
          <w:i/>
          <w:szCs w:val="20"/>
        </w:rPr>
        <w:t>)/(Z</w:t>
      </w:r>
      <w:r>
        <w:rPr>
          <w:i/>
          <w:szCs w:val="20"/>
        </w:rPr>
        <w:t>’</w:t>
      </w:r>
      <w:r>
        <w:rPr>
          <w:rFonts w:hint="eastAsia"/>
          <w:i/>
          <w:szCs w:val="20"/>
          <w:vertAlign w:val="subscript"/>
        </w:rPr>
        <w:t>CJT-C</w:t>
      </w:r>
      <w:r>
        <w:rPr>
          <w:rFonts w:hint="eastAsia"/>
          <w:i/>
          <w:szCs w:val="20"/>
        </w:rPr>
        <w:t>+Z</w:t>
      </w:r>
      <w:r>
        <w:rPr>
          <w:i/>
          <w:szCs w:val="20"/>
        </w:rPr>
        <w:t>’</w:t>
      </w:r>
      <w:r>
        <w:rPr>
          <w:rFonts w:hint="eastAsia"/>
          <w:i/>
          <w:szCs w:val="20"/>
          <w:vertAlign w:val="subscript"/>
        </w:rPr>
        <w:t>CJT</w:t>
      </w:r>
      <w:r>
        <w:rPr>
          <w:rFonts w:hint="eastAsia"/>
          <w:i/>
          <w:szCs w:val="20"/>
        </w:rPr>
        <w:t>) for joint triggering.</w:t>
      </w:r>
    </w:p>
    <w:p>
      <w:pPr>
        <w:pStyle w:val="112"/>
        <w:snapToGrid w:val="0"/>
        <w:spacing w:beforeLines="50" w:afterLines="50" w:line="240" w:lineRule="exact"/>
        <w:ind w:firstLine="0" w:firstLineChars="0"/>
        <w:rPr>
          <w:rFonts w:eastAsia="Batang"/>
          <w:i/>
          <w:szCs w:val="20"/>
          <w:lang w:val="en-GB" w:eastAsia="en-US"/>
        </w:rPr>
      </w:pPr>
      <w:r>
        <w:rPr>
          <w:rFonts w:hint="eastAsia"/>
          <w:b/>
          <w:bCs/>
          <w:i/>
          <w:szCs w:val="20"/>
        </w:rPr>
        <w:t>Proposal</w:t>
      </w:r>
      <w:r>
        <w:rPr>
          <w:b/>
          <w:bCs/>
          <w:i/>
          <w:szCs w:val="20"/>
        </w:rPr>
        <w:t xml:space="preserve"> </w:t>
      </w:r>
      <w:r>
        <w:rPr>
          <w:rFonts w:hint="eastAsia"/>
          <w:b/>
          <w:bCs/>
          <w:i/>
          <w:szCs w:val="20"/>
        </w:rPr>
        <w:t>12</w:t>
      </w:r>
      <w:r>
        <w:rPr>
          <w:b/>
          <w:bCs/>
          <w:i/>
          <w:szCs w:val="20"/>
        </w:rPr>
        <w:t>:</w:t>
      </w:r>
      <w:r>
        <w:rPr>
          <w:bCs/>
          <w:i/>
          <w:szCs w:val="20"/>
        </w:rPr>
        <w:t xml:space="preserve"> </w:t>
      </w:r>
      <w:r>
        <w:rPr>
          <w:rFonts w:eastAsia="Calibri"/>
          <w:i/>
          <w:szCs w:val="20"/>
          <w:lang w:val="en-GB" w:eastAsia="en-US"/>
        </w:rPr>
        <w:t xml:space="preserve">For the Rel-19 aperiodic standalone CJT calibration (CJTC) reporting, </w:t>
      </w:r>
      <w:r>
        <w:rPr>
          <w:rFonts w:hint="eastAsia"/>
          <w:i/>
          <w:szCs w:val="20"/>
        </w:rPr>
        <w:t xml:space="preserve">regarding Rel-19 Type-I MP codebook CSI report </w:t>
      </w:r>
      <w:r>
        <w:rPr>
          <w:rFonts w:eastAsia="Calibri"/>
          <w:i/>
          <w:szCs w:val="20"/>
          <w:lang w:val="en-GB" w:eastAsia="en-US"/>
        </w:rPr>
        <w:t xml:space="preserve">to facilitate UE-specific </w:t>
      </w:r>
      <w:r>
        <w:rPr>
          <w:rFonts w:eastAsia="Batang"/>
          <w:i/>
          <w:szCs w:val="20"/>
          <w:lang w:val="en-GB" w:eastAsia="en-US"/>
        </w:rPr>
        <w:t>delay offset pre-compensation, l</w:t>
      </w:r>
      <w:r>
        <w:rPr>
          <w:rFonts w:hint="eastAsia" w:eastAsia="Batang"/>
          <w:i/>
          <w:szCs w:val="20"/>
          <w:lang w:val="en-GB" w:eastAsia="en-US"/>
        </w:rPr>
        <w:t xml:space="preserve">inking the CJT calibration report with the Rel-19 </w:t>
      </w:r>
      <w:r>
        <w:rPr>
          <w:rFonts w:eastAsia="Batang"/>
          <w:i/>
          <w:szCs w:val="20"/>
          <w:lang w:val="en-GB" w:eastAsia="en-US"/>
        </w:rPr>
        <w:t>Type-I MP codebook</w:t>
      </w:r>
      <w:r>
        <w:rPr>
          <w:rFonts w:hint="eastAsia" w:eastAsia="Batang"/>
          <w:i/>
          <w:szCs w:val="20"/>
          <w:lang w:val="en-GB" w:eastAsia="en-US"/>
        </w:rPr>
        <w:t xml:space="preserve"> CSI report</w:t>
      </w:r>
      <w:r>
        <w:rPr>
          <w:rFonts w:eastAsia="Batang"/>
          <w:i/>
          <w:szCs w:val="20"/>
          <w:lang w:val="en-GB" w:eastAsia="en-US"/>
        </w:rPr>
        <w:t xml:space="preserve"> should be supported.</w:t>
      </w:r>
    </w:p>
    <w:p>
      <w:pPr>
        <w:snapToGrid w:val="0"/>
        <w:spacing w:before="72" w:beforeLines="30" w:after="72" w:afterLines="30" w:line="300" w:lineRule="auto"/>
        <w:textAlignment w:val="center"/>
        <w:rPr>
          <w:rFonts w:eastAsia="微软雅黑"/>
          <w:i/>
          <w:szCs w:val="20"/>
        </w:rPr>
      </w:pPr>
      <w:r>
        <w:rPr>
          <w:b/>
          <w:bCs/>
          <w:i/>
          <w:szCs w:val="20"/>
        </w:rPr>
        <w:t xml:space="preserve">Proposal </w:t>
      </w:r>
      <w:r>
        <w:rPr>
          <w:rFonts w:hint="eastAsia"/>
          <w:b/>
          <w:bCs/>
          <w:i/>
          <w:szCs w:val="20"/>
        </w:rPr>
        <w:t>13</w:t>
      </w:r>
      <w:r>
        <w:rPr>
          <w:b/>
          <w:bCs/>
          <w:i/>
          <w:szCs w:val="20"/>
        </w:rPr>
        <w:t>:</w:t>
      </w:r>
      <w:r>
        <w:rPr>
          <w:bCs/>
          <w:i/>
          <w:szCs w:val="20"/>
        </w:rPr>
        <w:t xml:space="preserve"> </w:t>
      </w:r>
      <w:r>
        <w:rPr>
          <w:rFonts w:eastAsia="微软雅黑"/>
          <w:i/>
          <w:szCs w:val="20"/>
        </w:rPr>
        <w:t>Regarding Rel-19 CJT calibration reporting, support introducing new p</w:t>
      </w:r>
      <w:r>
        <w:rPr>
          <w:rFonts w:hint="eastAsia" w:eastAsia="微软雅黑"/>
          <w:i/>
          <w:szCs w:val="20"/>
          <w:lang w:val="en-US" w:eastAsia="zh-CN"/>
        </w:rPr>
        <w:t>re</w:t>
      </w:r>
      <w:bookmarkStart w:id="11" w:name="_GoBack"/>
      <w:bookmarkEnd w:id="11"/>
      <w:r>
        <w:rPr>
          <w:rFonts w:eastAsia="微软雅黑"/>
          <w:i/>
          <w:szCs w:val="20"/>
        </w:rPr>
        <w:t>coding assumption(s) for UE-specific DO/FO pre-compensated CJT.</w:t>
      </w:r>
    </w:p>
    <w:p>
      <w:pPr>
        <w:pStyle w:val="112"/>
        <w:numPr>
          <w:ilvl w:val="0"/>
          <w:numId w:val="24"/>
        </w:numPr>
        <w:ind w:firstLineChars="0"/>
        <w:rPr>
          <w:bCs/>
          <w:i/>
          <w:szCs w:val="20"/>
        </w:rPr>
      </w:pPr>
      <w:r>
        <w:rPr>
          <w:rFonts w:hint="eastAsia"/>
          <w:bCs/>
          <w:i/>
          <w:szCs w:val="20"/>
        </w:rPr>
        <w:t>I</w:t>
      </w:r>
      <w:r>
        <w:rPr>
          <w:bCs/>
          <w:i/>
          <w:szCs w:val="20"/>
        </w:rPr>
        <w:t>f DO is pre-compensated, the precoding assumption can be expressed as</w:t>
      </w:r>
    </w:p>
    <w:p>
      <w:pPr>
        <w:pStyle w:val="112"/>
        <w:ind w:left="840" w:firstLine="0" w:firstLineChars="0"/>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eastAsia="Cambria Math"/>
                              <w:szCs w:val="20"/>
                            </w:rPr>
                            <m:t>⋮</m:t>
                          </m:r>
                          <m:ctrlPr>
                            <w:rPr>
                              <w:rFonts w:ascii="Cambria Math" w:hAnsi="Cambria Math" w:eastAsia="Cambria Math"/>
                              <w:szCs w:val="20"/>
                            </w:rPr>
                          </m:ctrlPr>
                        </m:e>
                      </m:m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szCs w:val="20"/>
                            </w:rPr>
                            <m:t>⋮</m:t>
                          </m:r>
                          <m:ctrlPr>
                            <w:rPr>
                              <w:rFonts w:ascii="Cambria Math" w:hAnsi="Cambria Math"/>
                              <w:szCs w:val="20"/>
                            </w:rPr>
                          </m:ctrlPr>
                        </m:e>
                      </m:m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m>
                      <m:mPr>
                        <m:mcs>
                          <m:mc>
                            <m:mcPr>
                              <m:count m:val="1"/>
                              <m:mcJc m:val="center"/>
                            </m:mcPr>
                          </m:mc>
                        </m:mcs>
                        <m:ctrlPr>
                          <w:rPr>
                            <w:rFonts w:ascii="Cambria Math" w:hAnsi="Cambria Math"/>
                            <w:szCs w:val="20"/>
                          </w:rPr>
                        </m:ctrlPr>
                      </m:mPr>
                      <m:mr>
                        <m:e>
                          <m:r>
                            <m:rPr>
                              <m:sty m:val="p"/>
                            </m:rPr>
                            <w:rPr>
                              <w:rFonts w:ascii="Cambria Math" w:hAnsi="Cambria Math"/>
                              <w:szCs w:val="20"/>
                            </w:rPr>
                            <m:t>⋮</m:t>
                          </m:r>
                          <m:ctrlPr>
                            <w:rPr>
                              <w:rFonts w:ascii="Cambria Math" w:hAnsi="Cambria Math"/>
                              <w:szCs w:val="20"/>
                            </w:rPr>
                          </m:ctrlPr>
                        </m:e>
                      </m:mr>
                      <m:mr>
                        <m:e>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m:sty m:val="p"/>
                            </m:rPr>
                            <w:rPr>
                              <w:rFonts w:ascii="Cambria Math" w:hAnsi="Cambria Math"/>
                              <w:szCs w:val="20"/>
                            </w:rPr>
                            <m:t>0</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w:rPr>
                              <w:rFonts w:ascii="Cambria Math" w:hAnsi="Cambria Math"/>
                              <w:szCs w:val="20"/>
                            </w:rPr>
                            <m:t>υ</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qArr>
              <m:ctrlPr>
                <w:rPr>
                  <w:rFonts w:ascii="Cambria Math" w:hAnsi="Cambria Math"/>
                  <w:szCs w:val="20"/>
                </w:rPr>
              </m:ctrlPr>
            </m:e>
          </m:d>
        </m:oMath>
      </m:oMathPara>
    </w:p>
    <w:p>
      <w:pPr>
        <w:pStyle w:val="112"/>
        <w:numPr>
          <w:ilvl w:val="0"/>
          <w:numId w:val="24"/>
        </w:numPr>
        <w:ind w:firstLineChars="0"/>
        <w:rPr>
          <w:bCs/>
          <w:i/>
          <w:szCs w:val="20"/>
        </w:rPr>
      </w:pPr>
      <w:r>
        <w:rPr>
          <w:rFonts w:hint="eastAsia"/>
          <w:bCs/>
          <w:i/>
          <w:szCs w:val="20"/>
        </w:rPr>
        <w:t>I</w:t>
      </w:r>
      <w:r>
        <w:rPr>
          <w:bCs/>
          <w:i/>
          <w:szCs w:val="20"/>
        </w:rPr>
        <w:t>f FO is pre-compensated, the precoding assumption can be expressed as</w:t>
      </w:r>
    </w:p>
    <w:p>
      <w:pPr>
        <w:snapToGrid w:val="0"/>
        <w:spacing w:before="72" w:beforeLines="30" w:after="72" w:afterLines="30" w:line="300" w:lineRule="auto"/>
        <w:textAlignment w:val="center"/>
        <w:rPr>
          <w:rFonts w:eastAsiaTheme="minorEastAsia"/>
          <w:i/>
          <w:iCs/>
          <w:szCs w:val="24"/>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eastAsia="Cambria Math"/>
                              <w:szCs w:val="20"/>
                            </w:rPr>
                            <m:t>⋮</m:t>
                          </m:r>
                          <m:ctrlPr>
                            <w:rPr>
                              <w:rFonts w:ascii="Cambria Math" w:hAnsi="Cambria Math" w:eastAsia="Cambria Math"/>
                              <w:szCs w:val="20"/>
                            </w:rPr>
                          </m:ctrlPr>
                        </m:e>
                      </m:m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szCs w:val="20"/>
                            </w:rPr>
                            <m:t>⋮</m:t>
                          </m:r>
                          <m:ctrlPr>
                            <w:rPr>
                              <w:rFonts w:ascii="Cambria Math" w:hAnsi="Cambria Math"/>
                              <w:szCs w:val="20"/>
                            </w:rPr>
                          </m:ctrlPr>
                        </m:e>
                      </m:m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m>
                      <m:mPr>
                        <m:mcs>
                          <m:mc>
                            <m:mcPr>
                              <m:count m:val="1"/>
                              <m:mcJc m:val="center"/>
                            </m:mcPr>
                          </m:mc>
                        </m:mcs>
                        <m:ctrlPr>
                          <w:rPr>
                            <w:rFonts w:ascii="Cambria Math" w:hAnsi="Cambria Math"/>
                            <w:szCs w:val="20"/>
                          </w:rPr>
                        </m:ctrlPr>
                      </m:mPr>
                      <m:mr>
                        <m:e>
                          <m:r>
                            <m:rPr>
                              <m:sty m:val="p"/>
                            </m:rPr>
                            <w:rPr>
                              <w:rFonts w:ascii="Cambria Math" w:hAnsi="Cambria Math"/>
                              <w:szCs w:val="20"/>
                            </w:rPr>
                            <m:t>⋮</m:t>
                          </m:r>
                          <m:ctrlPr>
                            <w:rPr>
                              <w:rFonts w:ascii="Cambria Math" w:hAnsi="Cambria Math"/>
                              <w:szCs w:val="20"/>
                            </w:rPr>
                          </m:ctrlPr>
                        </m:e>
                      </m:mr>
                      <m:mr>
                        <m:e>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m:sty m:val="p"/>
                            </m:rPr>
                            <w:rPr>
                              <w:rFonts w:ascii="Cambria Math" w:hAnsi="Cambria Math"/>
                              <w:szCs w:val="20"/>
                            </w:rPr>
                            <m:t>0</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w:rPr>
                              <w:rFonts w:ascii="Cambria Math" w:hAnsi="Cambria Math"/>
                              <w:szCs w:val="20"/>
                            </w:rPr>
                            <m:t>υ</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qArr>
              <m:ctrlPr>
                <w:rPr>
                  <w:rFonts w:ascii="Cambria Math" w:hAnsi="Cambria Math"/>
                  <w:szCs w:val="20"/>
                </w:rPr>
              </m:ctrlPr>
            </m:e>
          </m:d>
        </m:oMath>
      </m:oMathPara>
    </w:p>
    <w:p>
      <w:pPr>
        <w:snapToGrid w:val="0"/>
        <w:contextualSpacing/>
        <w:jc w:val="left"/>
        <w:rPr>
          <w:bCs/>
          <w:iCs/>
          <w:szCs w:val="20"/>
        </w:rPr>
      </w:pPr>
    </w:p>
    <w:p>
      <w:pPr>
        <w:keepNext/>
        <w:widowControl w:val="0"/>
        <w:numPr>
          <w:ilvl w:val="0"/>
          <w:numId w:val="8"/>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pPr>
        <w:pStyle w:val="74"/>
        <w:numPr>
          <w:ilvl w:val="0"/>
          <w:numId w:val="25"/>
        </w:numPr>
        <w:snapToGrid w:val="0"/>
        <w:jc w:val="both"/>
        <w:rPr>
          <w:bCs/>
          <w:sz w:val="20"/>
          <w:szCs w:val="20"/>
        </w:rPr>
      </w:pPr>
      <w:r>
        <w:rPr>
          <w:bCs/>
          <w:sz w:val="20"/>
          <w:szCs w:val="20"/>
        </w:rPr>
        <w:t>RP-2</w:t>
      </w:r>
      <w:r>
        <w:rPr>
          <w:rFonts w:hint="eastAsia"/>
          <w:bCs/>
          <w:sz w:val="20"/>
          <w:szCs w:val="20"/>
        </w:rPr>
        <w:t>34007</w:t>
      </w:r>
      <w:r>
        <w:rPr>
          <w:bCs/>
          <w:sz w:val="20"/>
          <w:szCs w:val="20"/>
        </w:rPr>
        <w:t xml:space="preserve">, New WID: </w:t>
      </w:r>
      <w:r>
        <w:rPr>
          <w:rFonts w:hint="eastAsia"/>
          <w:bCs/>
          <w:sz w:val="20"/>
          <w:szCs w:val="20"/>
        </w:rPr>
        <w:t xml:space="preserve">NR </w:t>
      </w:r>
      <w:r>
        <w:rPr>
          <w:bCs/>
          <w:sz w:val="20"/>
          <w:szCs w:val="20"/>
        </w:rPr>
        <w:t xml:space="preserve">MIMO Evolution </w:t>
      </w:r>
      <w:r>
        <w:rPr>
          <w:rFonts w:hint="eastAsia"/>
          <w:bCs/>
          <w:sz w:val="20"/>
          <w:szCs w:val="20"/>
        </w:rPr>
        <w:t>Phase 5</w:t>
      </w:r>
      <w:r>
        <w:rPr>
          <w:bCs/>
          <w:sz w:val="20"/>
          <w:szCs w:val="20"/>
        </w:rPr>
        <w:t>, Samsung (Moderator)</w:t>
      </w:r>
    </w:p>
    <w:p>
      <w:pPr>
        <w:keepNext/>
        <w:widowControl w:val="0"/>
        <w:numPr>
          <w:ilvl w:val="0"/>
          <w:numId w:val="8"/>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Appendix</w:t>
      </w:r>
    </w:p>
    <w:p>
      <w:pPr>
        <w:snapToGrid w:val="0"/>
        <w:spacing w:before="72" w:beforeLines="30" w:after="72" w:afterLines="30" w:line="288" w:lineRule="auto"/>
        <w:jc w:val="center"/>
        <w:rPr>
          <w:rFonts w:eastAsia="微软雅黑"/>
          <w:szCs w:val="20"/>
          <w:u w:val="single"/>
        </w:rPr>
      </w:pPr>
      <w:r>
        <w:rPr>
          <w:rFonts w:eastAsia="微软雅黑"/>
          <w:b/>
          <w:szCs w:val="20"/>
        </w:rPr>
        <w:t>Table</w:t>
      </w:r>
      <w:r>
        <w:rPr>
          <w:rFonts w:hint="eastAsia" w:eastAsia="微软雅黑"/>
          <w:b/>
          <w:szCs w:val="20"/>
        </w:rPr>
        <w:t xml:space="preserve"> 2</w:t>
      </w:r>
      <w:r>
        <w:rPr>
          <w:rFonts w:eastAsia="微软雅黑"/>
          <w:szCs w:val="20"/>
        </w:rPr>
        <w:t xml:space="preserve"> SLS evaluation assumption for</w:t>
      </w:r>
      <w:r>
        <w:rPr>
          <w:rFonts w:hint="eastAsia" w:eastAsia="微软雅黑"/>
          <w:szCs w:val="20"/>
        </w:rPr>
        <w:t xml:space="preserve"> 32T</w:t>
      </w:r>
      <w:r>
        <w:rPr>
          <w:rFonts w:eastAsia="微软雅黑"/>
          <w:szCs w:val="20"/>
        </w:rPr>
        <w:t xml:space="preserve"> related </w:t>
      </w:r>
      <w:r>
        <w:rPr>
          <w:rFonts w:hint="eastAsia" w:eastAsia="微软雅黑"/>
          <w:szCs w:val="20"/>
        </w:rPr>
        <w:t>Type-I</w:t>
      </w:r>
      <w:r>
        <w:rPr>
          <w:rFonts w:eastAsia="微软雅黑"/>
          <w:szCs w:val="20"/>
        </w:rPr>
        <w:t xml:space="preserve"> codebook</w:t>
      </w:r>
    </w:p>
    <w:tbl>
      <w:tblPr>
        <w:tblStyle w:val="24"/>
        <w:tblW w:w="7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2"/>
        <w:gridCol w:w="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3392" w:type="dxa"/>
            <w:shd w:val="clear" w:color="000000" w:fill="BEBEBE" w:themeFill="background1" w:themeFillShade="BF"/>
            <w:noWrap/>
            <w:vAlign w:val="center"/>
          </w:tcPr>
          <w:p>
            <w:pPr>
              <w:spacing w:after="0"/>
              <w:jc w:val="center"/>
              <w:rPr>
                <w:b/>
                <w:bCs/>
                <w:color w:val="000000"/>
                <w:sz w:val="18"/>
                <w:szCs w:val="18"/>
              </w:rPr>
            </w:pPr>
            <w:r>
              <w:rPr>
                <w:b/>
                <w:bCs/>
                <w:color w:val="000000"/>
                <w:sz w:val="18"/>
                <w:szCs w:val="18"/>
              </w:rPr>
              <w:t>Parameter</w:t>
            </w:r>
          </w:p>
        </w:tc>
        <w:tc>
          <w:tcPr>
            <w:tcW w:w="4504" w:type="dxa"/>
            <w:shd w:val="clear" w:color="000000" w:fill="BEBEBE" w:themeFill="background1" w:themeFillShade="BF"/>
            <w:noWrap/>
            <w:vAlign w:val="center"/>
          </w:tcPr>
          <w:p>
            <w:pPr>
              <w:spacing w:after="0"/>
              <w:jc w:val="center"/>
              <w:rPr>
                <w:b/>
                <w:bCs/>
                <w:color w:val="000000"/>
                <w:sz w:val="18"/>
                <w:szCs w:val="18"/>
              </w:rPr>
            </w:pPr>
            <w:r>
              <w:rPr>
                <w:b/>
                <w:bCs/>
                <w:color w:val="000000"/>
                <w:sz w:val="18"/>
                <w:szCs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Carrier Frequency</w:t>
            </w:r>
          </w:p>
        </w:tc>
        <w:tc>
          <w:tcPr>
            <w:tcW w:w="4504" w:type="dxa"/>
            <w:shd w:val="clear" w:color="auto" w:fill="auto"/>
            <w:noWrap/>
            <w:vAlign w:val="center"/>
          </w:tcPr>
          <w:p>
            <w:pPr>
              <w:spacing w:after="0"/>
              <w:rPr>
                <w:color w:val="000000"/>
                <w:sz w:val="18"/>
                <w:szCs w:val="18"/>
              </w:rPr>
            </w:pPr>
            <w:r>
              <w:rPr>
                <w:rFonts w:hint="eastAsia"/>
                <w:color w:val="000000"/>
                <w:sz w:val="18"/>
                <w:szCs w:val="18"/>
              </w:rPr>
              <w:t>6</w:t>
            </w:r>
            <w:r>
              <w:rPr>
                <w:color w:val="000000"/>
                <w:sz w:val="18"/>
                <w:szCs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Channel Model</w:t>
            </w:r>
          </w:p>
        </w:tc>
        <w:tc>
          <w:tcPr>
            <w:tcW w:w="4504" w:type="dxa"/>
            <w:shd w:val="clear" w:color="auto" w:fill="auto"/>
            <w:noWrap/>
            <w:vAlign w:val="center"/>
          </w:tcPr>
          <w:p>
            <w:pPr>
              <w:spacing w:after="0"/>
              <w:rPr>
                <w:color w:val="000000"/>
                <w:sz w:val="18"/>
                <w:szCs w:val="18"/>
              </w:rPr>
            </w:pPr>
            <w:r>
              <w:rPr>
                <w:color w:val="000000"/>
                <w:sz w:val="18"/>
                <w:szCs w:val="18"/>
              </w:rPr>
              <w:t>According to the TR 38.901</w:t>
            </w:r>
          </w:p>
          <w:p>
            <w:pPr>
              <w:pStyle w:val="45"/>
              <w:rPr>
                <w:rFonts w:ascii="Times New Roman" w:hAnsi="Times New Roman"/>
                <w:color w:val="000000"/>
                <w:szCs w:val="18"/>
                <w:lang w:val="en-US" w:eastAsia="zh-CN"/>
              </w:rPr>
            </w:pPr>
            <w:r>
              <w:rPr>
                <w:rFonts w:ascii="Times New Roman" w:hAnsi="Times New Roman"/>
                <w:color w:val="000000"/>
                <w:szCs w:val="18"/>
                <w:lang w:eastAsia="ja-JP"/>
              </w:rPr>
              <w:t>3D UM</w:t>
            </w:r>
            <w:r>
              <w:rPr>
                <w:rFonts w:hint="eastAsia" w:ascii="Times New Roman" w:hAnsi="Times New Roman"/>
                <w:color w:val="000000"/>
                <w:szCs w:val="18"/>
                <w:lang w:val="en-US" w:eastAsia="zh-CN"/>
              </w:rPr>
              <w:t>i  ISD=200m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Antenna setup and port layouts at gNB</w:t>
            </w:r>
          </w:p>
        </w:tc>
        <w:tc>
          <w:tcPr>
            <w:tcW w:w="4504" w:type="dxa"/>
            <w:shd w:val="clear" w:color="auto" w:fill="auto"/>
            <w:vAlign w:val="center"/>
          </w:tcPr>
          <w:p>
            <w:pPr>
              <w:spacing w:after="0"/>
              <w:rPr>
                <w:color w:val="000000"/>
                <w:sz w:val="18"/>
                <w:szCs w:val="18"/>
              </w:rPr>
            </w:pPr>
            <w:r>
              <w:rPr>
                <w:rFonts w:hint="eastAsia"/>
                <w:color w:val="000000"/>
                <w:sz w:val="18"/>
                <w:szCs w:val="18"/>
              </w:rPr>
              <w:t xml:space="preserve">- 32 ports: </w:t>
            </w:r>
            <w:r>
              <w:rPr>
                <w:color w:val="000000"/>
                <w:sz w:val="18"/>
                <w:szCs w:val="18"/>
              </w:rPr>
              <w:t xml:space="preserve">(M, N, P, Mg, Ng, Mp, </w:t>
            </w:r>
            <w:r>
              <w:rPr>
                <w:rFonts w:eastAsia="Malgun Gothic"/>
                <w:color w:val="000000"/>
                <w:kern w:val="24"/>
                <w:sz w:val="18"/>
                <w:szCs w:val="18"/>
                <w:lang w:val="sv-SE"/>
              </w:rPr>
              <w:t>Np) =(</w:t>
            </w:r>
            <w:r>
              <w:rPr>
                <w:rFonts w:hint="eastAsia"/>
                <w:color w:val="000000"/>
                <w:kern w:val="24"/>
                <w:sz w:val="18"/>
                <w:szCs w:val="18"/>
              </w:rPr>
              <w:t>2</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2</w:t>
            </w:r>
            <w:r>
              <w:rPr>
                <w:color w:val="000000"/>
                <w:kern w:val="24"/>
                <w:sz w:val="18"/>
                <w:szCs w:val="18"/>
              </w:rPr>
              <w:t>,</w:t>
            </w:r>
            <w:r>
              <w:rPr>
                <w:rFonts w:hint="eastAsia"/>
                <w:color w:val="000000"/>
                <w:kern w:val="24"/>
                <w:sz w:val="18"/>
                <w:szCs w:val="18"/>
              </w:rPr>
              <w:t>8</w:t>
            </w:r>
            <w:r>
              <w:rPr>
                <w:color w:val="000000"/>
                <w:sz w:val="18"/>
                <w:szCs w:val="18"/>
              </w:rPr>
              <w:t>)</w:t>
            </w:r>
          </w:p>
          <w:p>
            <w:pPr>
              <w:spacing w:after="0"/>
              <w:rPr>
                <w:color w:val="000000"/>
                <w:sz w:val="18"/>
                <w:szCs w:val="18"/>
              </w:rPr>
            </w:pPr>
            <w:r>
              <w:rPr>
                <w:rFonts w:hint="eastAsia"/>
                <w:color w:val="000000"/>
                <w:sz w:val="18"/>
                <w:szCs w:val="18"/>
              </w:rPr>
              <w:t xml:space="preserve">- 64 ports: </w:t>
            </w:r>
            <w:r>
              <w:rPr>
                <w:color w:val="000000"/>
                <w:sz w:val="18"/>
                <w:szCs w:val="18"/>
              </w:rPr>
              <w:t xml:space="preserve">(M, N, P, Mg, Ng, Mp, </w:t>
            </w:r>
            <w:r>
              <w:rPr>
                <w:rFonts w:eastAsia="Malgun Gothic"/>
                <w:color w:val="000000"/>
                <w:kern w:val="24"/>
                <w:sz w:val="18"/>
                <w:szCs w:val="18"/>
                <w:lang w:val="sv-SE"/>
              </w:rPr>
              <w:t>Np) =(</w:t>
            </w:r>
            <w:r>
              <w:rPr>
                <w:rFonts w:hint="eastAsia"/>
                <w:color w:val="000000"/>
                <w:kern w:val="24"/>
                <w:sz w:val="18"/>
                <w:szCs w:val="18"/>
              </w:rPr>
              <w:t>4</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4</w:t>
            </w:r>
            <w:r>
              <w:rPr>
                <w:color w:val="000000"/>
                <w:kern w:val="24"/>
                <w:sz w:val="18"/>
                <w:szCs w:val="18"/>
              </w:rPr>
              <w:t>,</w:t>
            </w:r>
            <w:r>
              <w:rPr>
                <w:rFonts w:hint="eastAsia"/>
                <w:color w:val="000000"/>
                <w:kern w:val="24"/>
                <w:sz w:val="18"/>
                <w:szCs w:val="18"/>
              </w:rPr>
              <w:t>8</w:t>
            </w:r>
            <w:r>
              <w:rPr>
                <w:color w:val="000000"/>
                <w:sz w:val="18"/>
                <w:szCs w:val="18"/>
              </w:rPr>
              <w:t>)</w:t>
            </w:r>
          </w:p>
          <w:p>
            <w:pPr>
              <w:spacing w:after="0"/>
              <w:rPr>
                <w:color w:val="000000"/>
                <w:sz w:val="18"/>
                <w:szCs w:val="18"/>
              </w:rPr>
            </w:pPr>
            <w:r>
              <w:rPr>
                <w:rFonts w:hint="eastAsia"/>
                <w:color w:val="000000"/>
                <w:sz w:val="18"/>
                <w:szCs w:val="18"/>
              </w:rPr>
              <w:t xml:space="preserve">- 128 ports: </w:t>
            </w:r>
            <w:r>
              <w:rPr>
                <w:color w:val="000000"/>
                <w:sz w:val="18"/>
                <w:szCs w:val="18"/>
              </w:rPr>
              <w:t xml:space="preserve">(M, N, P, Mg, Ng, Mp, </w:t>
            </w:r>
            <w:r>
              <w:rPr>
                <w:rFonts w:eastAsia="Malgun Gothic"/>
                <w:color w:val="000000"/>
                <w:kern w:val="24"/>
                <w:sz w:val="18"/>
                <w:szCs w:val="18"/>
                <w:lang w:val="sv-SE"/>
              </w:rPr>
              <w:t>Np) =(</w:t>
            </w:r>
            <w:r>
              <w:rPr>
                <w:rFonts w:hint="eastAsia"/>
                <w:color w:val="000000"/>
                <w:kern w:val="24"/>
                <w:sz w:val="18"/>
                <w:szCs w:val="18"/>
              </w:rPr>
              <w:t>8</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8</w:t>
            </w:r>
            <w:r>
              <w:rPr>
                <w:color w:val="000000"/>
                <w:kern w:val="24"/>
                <w:sz w:val="18"/>
                <w:szCs w:val="18"/>
              </w:rPr>
              <w:t>,</w:t>
            </w:r>
            <w:r>
              <w:rPr>
                <w:rFonts w:hint="eastAsia"/>
                <w:color w:val="000000"/>
                <w:kern w:val="24"/>
                <w:sz w:val="18"/>
                <w:szCs w:val="18"/>
              </w:rPr>
              <w:t>8</w:t>
            </w:r>
            <w:r>
              <w:rPr>
                <w:color w:val="000000"/>
                <w:sz w:val="18"/>
                <w:szCs w:val="18"/>
              </w:rPr>
              <w:t>)</w:t>
            </w:r>
          </w:p>
          <w:p>
            <w:pPr>
              <w:spacing w:after="0"/>
              <w:rPr>
                <w:color w:val="000000"/>
                <w:sz w:val="18"/>
                <w:szCs w:val="18"/>
              </w:rPr>
            </w:pPr>
            <w:r>
              <w:rPr>
                <w:color w:val="000000"/>
                <w:sz w:val="18"/>
                <w:szCs w:val="18"/>
              </w:rPr>
              <w:t>(dH, dV) = (0.5, 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Antenna setup and port layouts at UE</w:t>
            </w:r>
          </w:p>
        </w:tc>
        <w:tc>
          <w:tcPr>
            <w:tcW w:w="4504" w:type="dxa"/>
            <w:shd w:val="clear" w:color="auto" w:fill="auto"/>
            <w:noWrap/>
            <w:vAlign w:val="center"/>
          </w:tcPr>
          <w:p>
            <w:pPr>
              <w:spacing w:after="0"/>
              <w:rPr>
                <w:color w:val="000000"/>
                <w:sz w:val="18"/>
                <w:szCs w:val="18"/>
              </w:rPr>
            </w:pPr>
            <w:r>
              <w:rPr>
                <w:color w:val="000000"/>
                <w:sz w:val="18"/>
                <w:szCs w:val="18"/>
              </w:rPr>
              <w:t>(M, N, P, Mg, Ng, Mp, Np) =(1,2,2,1,1,1,2)</w:t>
            </w:r>
          </w:p>
          <w:p>
            <w:pPr>
              <w:spacing w:after="0"/>
              <w:rPr>
                <w:color w:val="000000"/>
                <w:sz w:val="18"/>
                <w:szCs w:val="18"/>
              </w:rPr>
            </w:pPr>
            <w:r>
              <w:rPr>
                <w:color w:val="000000"/>
                <w:sz w:val="18"/>
                <w:szCs w:val="18"/>
              </w:rPr>
              <w:t>(M, N, P, Mg, Ng, Mp, Np) =(</w:t>
            </w:r>
            <w:r>
              <w:rPr>
                <w:rFonts w:hint="eastAsia"/>
                <w:color w:val="000000"/>
                <w:sz w:val="18"/>
                <w:szCs w:val="18"/>
              </w:rPr>
              <w:t>2</w:t>
            </w:r>
            <w:r>
              <w:rPr>
                <w:color w:val="000000"/>
                <w:sz w:val="18"/>
                <w:szCs w:val="18"/>
              </w:rPr>
              <w:t>,2,2,1,1,</w:t>
            </w:r>
            <w:r>
              <w:rPr>
                <w:rFonts w:hint="eastAsia"/>
                <w:color w:val="000000"/>
                <w:sz w:val="18"/>
                <w:szCs w:val="18"/>
              </w:rPr>
              <w:t>2</w:t>
            </w:r>
            <w:r>
              <w:rPr>
                <w:color w:val="000000"/>
                <w:sz w:val="18"/>
                <w:szCs w:val="18"/>
              </w:rPr>
              <w:t>,2)</w:t>
            </w:r>
            <w:r>
              <w:rPr>
                <w:rFonts w:hint="eastAsia"/>
                <w:color w:val="000000"/>
                <w:sz w:val="18"/>
                <w:szCs w:val="18"/>
              </w:rPr>
              <w:t xml:space="preserve"> for RI = 5-8</w:t>
            </w:r>
          </w:p>
          <w:p>
            <w:pPr>
              <w:spacing w:after="0"/>
              <w:rPr>
                <w:color w:val="000000"/>
                <w:sz w:val="18"/>
                <w:szCs w:val="18"/>
              </w:rPr>
            </w:pPr>
            <w:r>
              <w:rPr>
                <w:color w:val="000000"/>
                <w:sz w:val="18"/>
                <w:szCs w:val="18"/>
              </w:rPr>
              <w:t>(dH, dV) = (0.5,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Modulation</w:t>
            </w:r>
          </w:p>
        </w:tc>
        <w:tc>
          <w:tcPr>
            <w:tcW w:w="4504" w:type="dxa"/>
            <w:shd w:val="clear" w:color="auto" w:fill="auto"/>
            <w:noWrap/>
            <w:vAlign w:val="center"/>
          </w:tcPr>
          <w:p>
            <w:pPr>
              <w:spacing w:after="0"/>
              <w:rPr>
                <w:color w:val="000000"/>
                <w:sz w:val="18"/>
                <w:szCs w:val="18"/>
              </w:rPr>
            </w:pPr>
            <w:r>
              <w:rPr>
                <w:color w:val="000000"/>
                <w:sz w:val="18"/>
                <w:szCs w:val="18"/>
              </w:rPr>
              <w:t xml:space="preserve">Up to 256QAM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gNB Tx power</w:t>
            </w:r>
          </w:p>
        </w:tc>
        <w:tc>
          <w:tcPr>
            <w:tcW w:w="4504" w:type="dxa"/>
            <w:shd w:val="clear" w:color="auto" w:fill="auto"/>
            <w:noWrap/>
            <w:vAlign w:val="center"/>
          </w:tcPr>
          <w:p>
            <w:pPr>
              <w:spacing w:after="0"/>
              <w:rPr>
                <w:color w:val="000000"/>
                <w:sz w:val="18"/>
                <w:szCs w:val="18"/>
              </w:rPr>
            </w:pPr>
            <w:r>
              <w:rPr>
                <w:color w:val="000000"/>
                <w:sz w:val="18"/>
                <w:szCs w:val="18"/>
              </w:rPr>
              <w:t>4</w:t>
            </w:r>
            <w:r>
              <w:rPr>
                <w:rFonts w:hint="eastAsia"/>
                <w:color w:val="000000"/>
                <w:sz w:val="18"/>
                <w:szCs w:val="18"/>
              </w:rPr>
              <w:t>6</w:t>
            </w:r>
            <w:r>
              <w:rPr>
                <w:color w:val="000000"/>
                <w:sz w:val="18"/>
                <w:szCs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Tx power</w:t>
            </w:r>
          </w:p>
        </w:tc>
        <w:tc>
          <w:tcPr>
            <w:tcW w:w="4504" w:type="dxa"/>
            <w:shd w:val="clear" w:color="auto" w:fill="auto"/>
            <w:noWrap/>
            <w:vAlign w:val="center"/>
          </w:tcPr>
          <w:p>
            <w:pPr>
              <w:spacing w:after="0"/>
              <w:rPr>
                <w:color w:val="000000"/>
                <w:sz w:val="18"/>
                <w:szCs w:val="18"/>
              </w:rPr>
            </w:pPr>
            <w:r>
              <w:rPr>
                <w:color w:val="000000"/>
                <w:sz w:val="18"/>
                <w:szCs w:val="18"/>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gNB antenna height</w:t>
            </w:r>
          </w:p>
        </w:tc>
        <w:tc>
          <w:tcPr>
            <w:tcW w:w="4504" w:type="dxa"/>
            <w:shd w:val="clear" w:color="auto" w:fill="auto"/>
            <w:noWrap/>
            <w:vAlign w:val="center"/>
          </w:tcPr>
          <w:p>
            <w:pPr>
              <w:spacing w:after="0"/>
              <w:rPr>
                <w:color w:val="000000"/>
                <w:sz w:val="18"/>
                <w:szCs w:val="18"/>
              </w:rPr>
            </w:pPr>
            <w:r>
              <w:rPr>
                <w:color w:val="000000"/>
                <w:sz w:val="18"/>
                <w:szCs w:val="18"/>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gNB receiver noise figure</w:t>
            </w:r>
          </w:p>
        </w:tc>
        <w:tc>
          <w:tcPr>
            <w:tcW w:w="4504" w:type="dxa"/>
            <w:shd w:val="clear" w:color="auto" w:fill="auto"/>
            <w:noWrap/>
            <w:vAlign w:val="center"/>
          </w:tcPr>
          <w:p>
            <w:pPr>
              <w:spacing w:after="0"/>
              <w:rPr>
                <w:color w:val="000000"/>
                <w:sz w:val="18"/>
                <w:szCs w:val="18"/>
              </w:rPr>
            </w:pPr>
            <w:r>
              <w:rPr>
                <w:color w:val="000000"/>
                <w:sz w:val="18"/>
                <w:szCs w:val="18"/>
                <w:lang w:eastAsia="ja-JP"/>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receiver noise figure</w:t>
            </w:r>
          </w:p>
        </w:tc>
        <w:tc>
          <w:tcPr>
            <w:tcW w:w="4504" w:type="dxa"/>
            <w:shd w:val="clear" w:color="auto" w:fill="auto"/>
            <w:noWrap/>
            <w:vAlign w:val="center"/>
          </w:tcPr>
          <w:p>
            <w:pPr>
              <w:spacing w:after="0"/>
              <w:rPr>
                <w:color w:val="000000"/>
                <w:sz w:val="18"/>
                <w:szCs w:val="18"/>
              </w:rPr>
            </w:pPr>
            <w:r>
              <w:rPr>
                <w:color w:val="000000"/>
                <w:sz w:val="18"/>
                <w:szCs w:val="18"/>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Numerology</w:t>
            </w:r>
          </w:p>
        </w:tc>
        <w:tc>
          <w:tcPr>
            <w:tcW w:w="4504" w:type="dxa"/>
            <w:shd w:val="clear" w:color="auto" w:fill="auto"/>
            <w:noWrap/>
            <w:vAlign w:val="center"/>
          </w:tcPr>
          <w:p>
            <w:pPr>
              <w:spacing w:after="0"/>
              <w:rPr>
                <w:color w:val="000000"/>
                <w:sz w:val="18"/>
                <w:szCs w:val="18"/>
              </w:rPr>
            </w:pPr>
            <w:r>
              <w:rPr>
                <w:color w:val="000000"/>
                <w:sz w:val="18"/>
                <w:szCs w:val="18"/>
              </w:rPr>
              <w:t xml:space="preserve">14 OFDM symbol </w:t>
            </w:r>
            <w:r>
              <w:rPr>
                <w:rFonts w:hint="eastAsia"/>
                <w:color w:val="000000"/>
                <w:sz w:val="18"/>
                <w:szCs w:val="18"/>
              </w:rPr>
              <w:t xml:space="preserve">per </w:t>
            </w:r>
            <w:r>
              <w:rPr>
                <w:color w:val="000000"/>
                <w:sz w:val="18"/>
                <w:szCs w:val="18"/>
              </w:rPr>
              <w:t xml:space="preserve">slot, </w:t>
            </w:r>
            <w:r>
              <w:rPr>
                <w:rFonts w:hint="eastAsia"/>
                <w:color w:val="000000"/>
                <w:sz w:val="18"/>
                <w:szCs w:val="18"/>
              </w:rPr>
              <w:t>15</w:t>
            </w:r>
            <w:r>
              <w:rPr>
                <w:color w:val="000000"/>
                <w:sz w:val="18"/>
                <w:szCs w:val="18"/>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Bandwidth</w:t>
            </w:r>
          </w:p>
        </w:tc>
        <w:tc>
          <w:tcPr>
            <w:tcW w:w="4504" w:type="dxa"/>
            <w:shd w:val="clear" w:color="auto" w:fill="auto"/>
            <w:noWrap/>
            <w:vAlign w:val="center"/>
          </w:tcPr>
          <w:p>
            <w:pPr>
              <w:spacing w:after="0"/>
              <w:rPr>
                <w:color w:val="000000"/>
                <w:sz w:val="18"/>
                <w:szCs w:val="18"/>
              </w:rPr>
            </w:pPr>
            <w:r>
              <w:rPr>
                <w:rFonts w:hint="eastAsia"/>
                <w:color w:val="000000"/>
                <w:sz w:val="18"/>
                <w:szCs w:val="18"/>
              </w:rPr>
              <w:t>1</w:t>
            </w:r>
            <w:r>
              <w:rPr>
                <w:color w:val="000000"/>
                <w:sz w:val="18"/>
                <w:szCs w:val="18"/>
                <w:lang w:eastAsia="ja-JP"/>
              </w:rPr>
              <w:t>0MHz</w:t>
            </w:r>
            <w:r>
              <w:rPr>
                <w:rFonts w:hint="eastAsia"/>
                <w:color w:val="000000"/>
                <w:sz w:val="18"/>
                <w:szCs w:val="18"/>
              </w:rPr>
              <w:t>, 52RBs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receiver</w:t>
            </w:r>
          </w:p>
        </w:tc>
        <w:tc>
          <w:tcPr>
            <w:tcW w:w="4504" w:type="dxa"/>
            <w:shd w:val="clear" w:color="auto" w:fill="auto"/>
            <w:noWrap/>
            <w:vAlign w:val="center"/>
          </w:tcPr>
          <w:p>
            <w:pPr>
              <w:spacing w:after="0"/>
              <w:rPr>
                <w:color w:val="000000"/>
                <w:sz w:val="18"/>
                <w:szCs w:val="18"/>
              </w:rPr>
            </w:pPr>
            <w:r>
              <w:rPr>
                <w:color w:val="000000"/>
                <w:sz w:val="18"/>
                <w:szCs w:val="18"/>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Network Layout</w:t>
            </w:r>
          </w:p>
        </w:tc>
        <w:tc>
          <w:tcPr>
            <w:tcW w:w="4504" w:type="dxa"/>
            <w:shd w:val="clear" w:color="auto" w:fill="auto"/>
            <w:vAlign w:val="center"/>
          </w:tcPr>
          <w:p>
            <w:pPr>
              <w:spacing w:after="0"/>
              <w:rPr>
                <w:color w:val="000000"/>
                <w:sz w:val="18"/>
                <w:szCs w:val="18"/>
              </w:rPr>
            </w:pPr>
            <w:r>
              <w:rPr>
                <w:rFonts w:hint="eastAsia"/>
                <w:color w:val="000000"/>
                <w:sz w:val="18"/>
                <w:szCs w:val="18"/>
              </w:rPr>
              <w:t>40</w:t>
            </w:r>
            <w:r>
              <w:rPr>
                <w:color w:val="000000"/>
                <w:sz w:val="18"/>
                <w:szCs w:val="18"/>
              </w:rPr>
              <w:t xml:space="preserve"> UEs per </w:t>
            </w:r>
            <w:r>
              <w:rPr>
                <w:rFonts w:hint="eastAsia"/>
                <w:color w:val="000000"/>
                <w:sz w:val="18"/>
                <w:szCs w:val="18"/>
              </w:rPr>
              <w:t>sec</w:t>
            </w:r>
            <w:r>
              <w:rPr>
                <w:color w:val="000000"/>
                <w:sz w:val="18"/>
                <w:szCs w:val="18"/>
              </w:rPr>
              <w:t xml:space="preserve"> (in a total of </w:t>
            </w:r>
            <w:r>
              <w:rPr>
                <w:rFonts w:hint="eastAsia"/>
                <w:color w:val="000000"/>
                <w:sz w:val="18"/>
                <w:szCs w:val="18"/>
              </w:rPr>
              <w:t>21</w:t>
            </w:r>
            <w:r>
              <w:rPr>
                <w:color w:val="000000"/>
                <w:sz w:val="18"/>
                <w:szCs w:val="18"/>
              </w:rPr>
              <w:t xml:space="preserve"> </w:t>
            </w:r>
            <w:r>
              <w:rPr>
                <w:rFonts w:hint="eastAsia"/>
                <w:color w:val="000000"/>
                <w:sz w:val="18"/>
                <w:szCs w:val="18"/>
              </w:rPr>
              <w:t>sec</w:t>
            </w:r>
            <w:r>
              <w:rPr>
                <w:color w:val="000000"/>
                <w:sz w:val="18"/>
                <w:szCs w:val="18"/>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PMI/CQI feedback</w:t>
            </w:r>
          </w:p>
        </w:tc>
        <w:tc>
          <w:tcPr>
            <w:tcW w:w="4504" w:type="dxa"/>
            <w:shd w:val="clear" w:color="auto" w:fill="auto"/>
            <w:vAlign w:val="center"/>
          </w:tcPr>
          <w:p>
            <w:pPr>
              <w:spacing w:after="0"/>
              <w:rPr>
                <w:color w:val="000000"/>
                <w:sz w:val="18"/>
                <w:szCs w:val="18"/>
              </w:rPr>
            </w:pPr>
            <w:r>
              <w:rPr>
                <w:color w:val="000000"/>
                <w:sz w:val="18"/>
                <w:szCs w:val="18"/>
              </w:rPr>
              <w:t>Subband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distribution</w:t>
            </w:r>
          </w:p>
        </w:tc>
        <w:tc>
          <w:tcPr>
            <w:tcW w:w="4504" w:type="dxa"/>
            <w:shd w:val="clear" w:color="auto" w:fill="auto"/>
            <w:vAlign w:val="center"/>
          </w:tcPr>
          <w:p>
            <w:pPr>
              <w:spacing w:after="0"/>
              <w:rPr>
                <w:color w:val="000000"/>
                <w:sz w:val="18"/>
                <w:szCs w:val="18"/>
              </w:rPr>
            </w:pPr>
            <w:r>
              <w:rPr>
                <w:rFonts w:hint="eastAsia"/>
                <w:color w:val="000000"/>
                <w:sz w:val="18"/>
                <w:szCs w:val="18"/>
              </w:rPr>
              <w:t>20</w:t>
            </w:r>
            <w:r>
              <w:rPr>
                <w:color w:val="000000"/>
                <w:sz w:val="18"/>
                <w:szCs w:val="18"/>
              </w:rPr>
              <w:t>% outdoor (30km/h)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Traffic model</w:t>
            </w:r>
          </w:p>
        </w:tc>
        <w:tc>
          <w:tcPr>
            <w:tcW w:w="4504" w:type="dxa"/>
            <w:shd w:val="clear" w:color="auto" w:fill="auto"/>
            <w:vAlign w:val="center"/>
          </w:tcPr>
          <w:p>
            <w:pPr>
              <w:spacing w:after="0"/>
              <w:rPr>
                <w:color w:val="000000"/>
                <w:sz w:val="18"/>
                <w:szCs w:val="18"/>
              </w:rPr>
            </w:pPr>
            <w:r>
              <w:rPr>
                <w:rFonts w:hint="eastAsia"/>
                <w:color w:val="000000"/>
                <w:sz w:val="18"/>
                <w:szCs w:val="18"/>
              </w:rPr>
              <w:t>FTP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CSI feedback</w:t>
            </w:r>
            <w:r>
              <w:rPr>
                <w:rFonts w:hint="eastAsia"/>
                <w:color w:val="000000"/>
                <w:sz w:val="18"/>
                <w:szCs w:val="18"/>
              </w:rPr>
              <w:t xml:space="preserve"> delay</w:t>
            </w:r>
          </w:p>
        </w:tc>
        <w:tc>
          <w:tcPr>
            <w:tcW w:w="4504" w:type="dxa"/>
            <w:shd w:val="clear" w:color="auto" w:fill="auto"/>
            <w:vAlign w:val="center"/>
          </w:tcPr>
          <w:p>
            <w:pPr>
              <w:spacing w:after="0"/>
              <w:rPr>
                <w:color w:val="000000"/>
                <w:sz w:val="18"/>
                <w:szCs w:val="18"/>
              </w:rPr>
            </w:pPr>
            <w:r>
              <w:rPr>
                <w:rFonts w:hint="eastAsia"/>
                <w:color w:val="000000"/>
                <w:sz w:val="18"/>
                <w:szCs w:val="18"/>
              </w:rPr>
              <w:t>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MIMO scheme</w:t>
            </w:r>
          </w:p>
        </w:tc>
        <w:tc>
          <w:tcPr>
            <w:tcW w:w="4504" w:type="dxa"/>
            <w:shd w:val="clear" w:color="auto" w:fill="auto"/>
            <w:vAlign w:val="center"/>
          </w:tcPr>
          <w:p>
            <w:pPr>
              <w:spacing w:after="0"/>
              <w:rPr>
                <w:color w:val="000000"/>
                <w:sz w:val="18"/>
                <w:szCs w:val="18"/>
              </w:rPr>
            </w:pPr>
            <w:r>
              <w:rPr>
                <w:rFonts w:hint="eastAsia"/>
                <w:color w:val="000000"/>
                <w:sz w:val="18"/>
                <w:szCs w:val="18"/>
              </w:rPr>
              <w:t>S</w:t>
            </w:r>
            <w:r>
              <w:rPr>
                <w:color w:val="000000"/>
                <w:sz w:val="18"/>
                <w:szCs w:val="18"/>
              </w:rPr>
              <w:t>U</w:t>
            </w:r>
            <w:r>
              <w:rPr>
                <w:rFonts w:hint="eastAsia"/>
                <w:color w:val="000000"/>
                <w:sz w:val="18"/>
                <w:szCs w:val="18"/>
              </w:rPr>
              <w:t>/MU</w:t>
            </w:r>
            <w:r>
              <w:rPr>
                <w:color w:val="000000"/>
                <w:sz w:val="18"/>
                <w:szCs w:val="18"/>
              </w:rPr>
              <w:t>-MIMO with rank adaptation</w:t>
            </w:r>
          </w:p>
          <w:p>
            <w:pPr>
              <w:spacing w:after="0"/>
              <w:rPr>
                <w:color w:val="000000"/>
                <w:sz w:val="18"/>
                <w:szCs w:val="18"/>
              </w:rPr>
            </w:pPr>
            <w:r>
              <w:rPr>
                <w:color w:val="000000"/>
                <w:sz w:val="18"/>
                <w:szCs w:val="18"/>
              </w:rPr>
              <w:t>Maximum rank = 4 per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Performance metrics</w:t>
            </w:r>
          </w:p>
        </w:tc>
        <w:tc>
          <w:tcPr>
            <w:tcW w:w="4504" w:type="dxa"/>
            <w:shd w:val="clear" w:color="auto" w:fill="auto"/>
            <w:vAlign w:val="center"/>
          </w:tcPr>
          <w:p>
            <w:pPr>
              <w:spacing w:after="0"/>
              <w:rPr>
                <w:color w:val="000000"/>
                <w:sz w:val="18"/>
                <w:szCs w:val="18"/>
              </w:rPr>
            </w:pPr>
            <w:r>
              <w:rPr>
                <w:rFonts w:hint="eastAsia"/>
                <w:color w:val="000000"/>
                <w:sz w:val="18"/>
                <w:szCs w:val="18"/>
              </w:rPr>
              <w:t xml:space="preserve">5%-ile and </w:t>
            </w:r>
            <w:r>
              <w:rPr>
                <w:color w:val="000000"/>
                <w:sz w:val="18"/>
                <w:szCs w:val="18"/>
              </w:rPr>
              <w:t>Average UPT</w:t>
            </w:r>
          </w:p>
        </w:tc>
      </w:tr>
    </w:tbl>
    <w:p>
      <w:pPr>
        <w:snapToGrid w:val="0"/>
        <w:spacing w:before="72" w:beforeLines="30" w:after="72" w:afterLines="30" w:line="288" w:lineRule="auto"/>
        <w:jc w:val="center"/>
        <w:rPr>
          <w:rFonts w:eastAsia="微软雅黑"/>
          <w:szCs w:val="20"/>
          <w:u w:val="single"/>
        </w:rPr>
      </w:pPr>
      <w:r>
        <w:rPr>
          <w:rFonts w:eastAsia="微软雅黑"/>
          <w:b/>
          <w:szCs w:val="20"/>
        </w:rPr>
        <w:t>Table</w:t>
      </w:r>
      <w:r>
        <w:rPr>
          <w:rFonts w:hint="eastAsia" w:eastAsia="微软雅黑"/>
          <w:b/>
          <w:szCs w:val="20"/>
        </w:rPr>
        <w:t xml:space="preserve"> 3</w:t>
      </w:r>
      <w:r>
        <w:rPr>
          <w:rFonts w:eastAsia="微软雅黑"/>
          <w:szCs w:val="20"/>
        </w:rPr>
        <w:t xml:space="preserve"> SLS evaluation assumption for</w:t>
      </w:r>
      <w:r>
        <w:rPr>
          <w:rFonts w:hint="eastAsia" w:eastAsia="微软雅黑"/>
          <w:szCs w:val="20"/>
        </w:rPr>
        <w:t xml:space="preserve"> 3-bit scaling factor</w:t>
      </w:r>
    </w:p>
    <w:tbl>
      <w:tblPr>
        <w:tblStyle w:val="24"/>
        <w:tblW w:w="7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2"/>
        <w:gridCol w:w="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3392" w:type="dxa"/>
            <w:shd w:val="clear" w:color="000000" w:fill="BEBEBE" w:themeFill="background1" w:themeFillShade="BF"/>
            <w:noWrap/>
            <w:vAlign w:val="center"/>
          </w:tcPr>
          <w:p>
            <w:pPr>
              <w:spacing w:after="0"/>
              <w:jc w:val="center"/>
              <w:rPr>
                <w:b/>
                <w:bCs/>
                <w:color w:val="000000"/>
                <w:sz w:val="18"/>
                <w:szCs w:val="18"/>
              </w:rPr>
            </w:pPr>
            <w:r>
              <w:rPr>
                <w:b/>
                <w:bCs/>
                <w:color w:val="000000"/>
                <w:sz w:val="18"/>
                <w:szCs w:val="18"/>
              </w:rPr>
              <w:t>Parameter</w:t>
            </w:r>
          </w:p>
        </w:tc>
        <w:tc>
          <w:tcPr>
            <w:tcW w:w="4504" w:type="dxa"/>
            <w:shd w:val="clear" w:color="000000" w:fill="BEBEBE" w:themeFill="background1" w:themeFillShade="BF"/>
            <w:noWrap/>
            <w:vAlign w:val="center"/>
          </w:tcPr>
          <w:p>
            <w:pPr>
              <w:spacing w:after="0"/>
              <w:jc w:val="center"/>
              <w:rPr>
                <w:b/>
                <w:bCs/>
                <w:color w:val="000000"/>
                <w:sz w:val="18"/>
                <w:szCs w:val="18"/>
              </w:rPr>
            </w:pPr>
            <w:r>
              <w:rPr>
                <w:b/>
                <w:bCs/>
                <w:color w:val="000000"/>
                <w:sz w:val="18"/>
                <w:szCs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Carrier Frequency</w:t>
            </w:r>
          </w:p>
        </w:tc>
        <w:tc>
          <w:tcPr>
            <w:tcW w:w="4504" w:type="dxa"/>
            <w:shd w:val="clear" w:color="auto" w:fill="auto"/>
            <w:noWrap/>
            <w:vAlign w:val="center"/>
          </w:tcPr>
          <w:p>
            <w:pPr>
              <w:spacing w:after="0"/>
              <w:rPr>
                <w:color w:val="000000"/>
                <w:sz w:val="18"/>
                <w:szCs w:val="18"/>
              </w:rPr>
            </w:pPr>
            <w:r>
              <w:rPr>
                <w:rFonts w:hint="eastAsia"/>
                <w:color w:val="000000"/>
                <w:sz w:val="18"/>
                <w:szCs w:val="18"/>
              </w:rPr>
              <w:t>6</w:t>
            </w:r>
            <w:r>
              <w:rPr>
                <w:color w:val="000000"/>
                <w:sz w:val="18"/>
                <w:szCs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Channel Model</w:t>
            </w:r>
          </w:p>
        </w:tc>
        <w:tc>
          <w:tcPr>
            <w:tcW w:w="4504" w:type="dxa"/>
            <w:shd w:val="clear" w:color="auto" w:fill="auto"/>
            <w:noWrap/>
            <w:vAlign w:val="center"/>
          </w:tcPr>
          <w:p>
            <w:pPr>
              <w:spacing w:after="0"/>
              <w:rPr>
                <w:color w:val="000000"/>
                <w:sz w:val="18"/>
                <w:szCs w:val="18"/>
              </w:rPr>
            </w:pPr>
            <w:r>
              <w:rPr>
                <w:color w:val="000000"/>
                <w:sz w:val="18"/>
                <w:szCs w:val="18"/>
              </w:rPr>
              <w:t>According to the TR 38.901</w:t>
            </w:r>
          </w:p>
          <w:p>
            <w:pPr>
              <w:pStyle w:val="45"/>
              <w:rPr>
                <w:rFonts w:ascii="Times New Roman" w:hAnsi="Times New Roman"/>
                <w:color w:val="000000"/>
                <w:szCs w:val="18"/>
                <w:lang w:val="en-US" w:eastAsia="zh-CN"/>
              </w:rPr>
            </w:pPr>
            <w:r>
              <w:rPr>
                <w:rFonts w:ascii="Times New Roman" w:hAnsi="Times New Roman"/>
                <w:color w:val="000000"/>
                <w:szCs w:val="18"/>
                <w:lang w:eastAsia="ja-JP"/>
              </w:rPr>
              <w:t>3D UM</w:t>
            </w:r>
            <w:r>
              <w:rPr>
                <w:rFonts w:hint="eastAsia" w:ascii="Times New Roman" w:hAnsi="Times New Roman"/>
                <w:color w:val="000000"/>
                <w:szCs w:val="18"/>
                <w:lang w:val="en-US" w:eastAsia="zh-CN"/>
              </w:rPr>
              <w:t>i  ISD=200m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Antenna setup and port layouts at gNB</w:t>
            </w:r>
          </w:p>
        </w:tc>
        <w:tc>
          <w:tcPr>
            <w:tcW w:w="4504" w:type="dxa"/>
            <w:shd w:val="clear" w:color="auto" w:fill="auto"/>
            <w:vAlign w:val="center"/>
          </w:tcPr>
          <w:p>
            <w:pPr>
              <w:spacing w:after="0"/>
              <w:rPr>
                <w:color w:val="000000"/>
                <w:sz w:val="18"/>
                <w:szCs w:val="18"/>
              </w:rPr>
            </w:pPr>
            <w:r>
              <w:rPr>
                <w:rFonts w:hint="eastAsia"/>
                <w:color w:val="000000"/>
                <w:sz w:val="18"/>
                <w:szCs w:val="18"/>
              </w:rPr>
              <w:t xml:space="preserve">- 64 ports: </w:t>
            </w:r>
            <w:r>
              <w:rPr>
                <w:color w:val="000000"/>
                <w:sz w:val="18"/>
                <w:szCs w:val="18"/>
              </w:rPr>
              <w:t xml:space="preserve">(M, N, P, Mg, Ng, Mp, </w:t>
            </w:r>
            <w:r>
              <w:rPr>
                <w:rFonts w:eastAsia="Malgun Gothic"/>
                <w:color w:val="000000"/>
                <w:kern w:val="24"/>
                <w:sz w:val="18"/>
                <w:szCs w:val="18"/>
                <w:lang w:val="sv-SE"/>
              </w:rPr>
              <w:t>Np) =(</w:t>
            </w:r>
            <w:r>
              <w:rPr>
                <w:rFonts w:hint="eastAsia"/>
                <w:color w:val="000000"/>
                <w:kern w:val="24"/>
                <w:sz w:val="18"/>
                <w:szCs w:val="18"/>
              </w:rPr>
              <w:t>4</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4</w:t>
            </w:r>
            <w:r>
              <w:rPr>
                <w:color w:val="000000"/>
                <w:kern w:val="24"/>
                <w:sz w:val="18"/>
                <w:szCs w:val="18"/>
              </w:rPr>
              <w:t>,</w:t>
            </w:r>
            <w:r>
              <w:rPr>
                <w:rFonts w:hint="eastAsia"/>
                <w:color w:val="000000"/>
                <w:kern w:val="24"/>
                <w:sz w:val="18"/>
                <w:szCs w:val="18"/>
              </w:rPr>
              <w:t>8</w:t>
            </w:r>
            <w:r>
              <w:rPr>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Antenna setup and port layouts at UE</w:t>
            </w:r>
          </w:p>
        </w:tc>
        <w:tc>
          <w:tcPr>
            <w:tcW w:w="4504" w:type="dxa"/>
            <w:shd w:val="clear" w:color="auto" w:fill="auto"/>
            <w:noWrap/>
            <w:vAlign w:val="center"/>
          </w:tcPr>
          <w:p>
            <w:pPr>
              <w:spacing w:after="0"/>
              <w:rPr>
                <w:color w:val="000000"/>
                <w:sz w:val="18"/>
                <w:szCs w:val="18"/>
              </w:rPr>
            </w:pPr>
            <w:r>
              <w:rPr>
                <w:color w:val="000000"/>
                <w:sz w:val="18"/>
                <w:szCs w:val="18"/>
              </w:rPr>
              <w:t>(M, N, P, Mg, Ng, Mp, Np) =(1,2,2,1,1,1,2)</w:t>
            </w:r>
          </w:p>
          <w:p>
            <w:pPr>
              <w:spacing w:after="0"/>
              <w:rPr>
                <w:color w:val="000000"/>
                <w:sz w:val="18"/>
                <w:szCs w:val="18"/>
              </w:rPr>
            </w:pPr>
            <w:r>
              <w:rPr>
                <w:color w:val="000000"/>
                <w:sz w:val="18"/>
                <w:szCs w:val="18"/>
              </w:rPr>
              <w:t>(dH, dV) = (0.5,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Modulation</w:t>
            </w:r>
          </w:p>
        </w:tc>
        <w:tc>
          <w:tcPr>
            <w:tcW w:w="4504" w:type="dxa"/>
            <w:shd w:val="clear" w:color="auto" w:fill="auto"/>
            <w:noWrap/>
            <w:vAlign w:val="center"/>
          </w:tcPr>
          <w:p>
            <w:pPr>
              <w:spacing w:after="0"/>
              <w:rPr>
                <w:color w:val="000000"/>
                <w:sz w:val="18"/>
                <w:szCs w:val="18"/>
              </w:rPr>
            </w:pPr>
            <w:r>
              <w:rPr>
                <w:color w:val="000000"/>
                <w:sz w:val="18"/>
                <w:szCs w:val="18"/>
              </w:rPr>
              <w:t xml:space="preserve">Up to 256QAM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gNB Tx power</w:t>
            </w:r>
          </w:p>
        </w:tc>
        <w:tc>
          <w:tcPr>
            <w:tcW w:w="4504" w:type="dxa"/>
            <w:shd w:val="clear" w:color="auto" w:fill="auto"/>
            <w:noWrap/>
            <w:vAlign w:val="center"/>
          </w:tcPr>
          <w:p>
            <w:pPr>
              <w:spacing w:after="0"/>
              <w:rPr>
                <w:color w:val="000000"/>
                <w:sz w:val="18"/>
                <w:szCs w:val="18"/>
              </w:rPr>
            </w:pPr>
            <w:r>
              <w:rPr>
                <w:color w:val="000000"/>
                <w:sz w:val="18"/>
                <w:szCs w:val="18"/>
              </w:rPr>
              <w:t>4</w:t>
            </w:r>
            <w:r>
              <w:rPr>
                <w:rFonts w:hint="eastAsia"/>
                <w:color w:val="000000"/>
                <w:sz w:val="18"/>
                <w:szCs w:val="18"/>
              </w:rPr>
              <w:t>6</w:t>
            </w:r>
            <w:r>
              <w:rPr>
                <w:color w:val="000000"/>
                <w:sz w:val="18"/>
                <w:szCs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Tx power</w:t>
            </w:r>
          </w:p>
        </w:tc>
        <w:tc>
          <w:tcPr>
            <w:tcW w:w="4504" w:type="dxa"/>
            <w:shd w:val="clear" w:color="auto" w:fill="auto"/>
            <w:noWrap/>
            <w:vAlign w:val="center"/>
          </w:tcPr>
          <w:p>
            <w:pPr>
              <w:spacing w:after="0"/>
              <w:rPr>
                <w:color w:val="000000"/>
                <w:sz w:val="18"/>
                <w:szCs w:val="18"/>
              </w:rPr>
            </w:pPr>
            <w:r>
              <w:rPr>
                <w:color w:val="000000"/>
                <w:sz w:val="18"/>
                <w:szCs w:val="18"/>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gNB antenna height</w:t>
            </w:r>
          </w:p>
        </w:tc>
        <w:tc>
          <w:tcPr>
            <w:tcW w:w="4504" w:type="dxa"/>
            <w:shd w:val="clear" w:color="auto" w:fill="auto"/>
            <w:noWrap/>
            <w:vAlign w:val="center"/>
          </w:tcPr>
          <w:p>
            <w:pPr>
              <w:spacing w:after="0"/>
              <w:rPr>
                <w:color w:val="000000"/>
                <w:sz w:val="18"/>
                <w:szCs w:val="18"/>
              </w:rPr>
            </w:pPr>
            <w:r>
              <w:rPr>
                <w:color w:val="000000"/>
                <w:sz w:val="18"/>
                <w:szCs w:val="18"/>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gNB receiver noise figure</w:t>
            </w:r>
          </w:p>
        </w:tc>
        <w:tc>
          <w:tcPr>
            <w:tcW w:w="4504" w:type="dxa"/>
            <w:shd w:val="clear" w:color="auto" w:fill="auto"/>
            <w:noWrap/>
            <w:vAlign w:val="center"/>
          </w:tcPr>
          <w:p>
            <w:pPr>
              <w:spacing w:after="0"/>
              <w:rPr>
                <w:color w:val="000000"/>
                <w:sz w:val="18"/>
                <w:szCs w:val="18"/>
              </w:rPr>
            </w:pPr>
            <w:r>
              <w:rPr>
                <w:color w:val="000000"/>
                <w:sz w:val="18"/>
                <w:szCs w:val="18"/>
                <w:lang w:eastAsia="ja-JP"/>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receiver noise figure</w:t>
            </w:r>
          </w:p>
        </w:tc>
        <w:tc>
          <w:tcPr>
            <w:tcW w:w="4504" w:type="dxa"/>
            <w:shd w:val="clear" w:color="auto" w:fill="auto"/>
            <w:noWrap/>
            <w:vAlign w:val="center"/>
          </w:tcPr>
          <w:p>
            <w:pPr>
              <w:spacing w:after="0"/>
              <w:rPr>
                <w:color w:val="000000"/>
                <w:sz w:val="18"/>
                <w:szCs w:val="18"/>
              </w:rPr>
            </w:pPr>
            <w:r>
              <w:rPr>
                <w:color w:val="000000"/>
                <w:sz w:val="18"/>
                <w:szCs w:val="18"/>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Numerology</w:t>
            </w:r>
          </w:p>
        </w:tc>
        <w:tc>
          <w:tcPr>
            <w:tcW w:w="4504" w:type="dxa"/>
            <w:shd w:val="clear" w:color="auto" w:fill="auto"/>
            <w:noWrap/>
            <w:vAlign w:val="center"/>
          </w:tcPr>
          <w:p>
            <w:pPr>
              <w:spacing w:after="0"/>
              <w:rPr>
                <w:color w:val="000000"/>
                <w:sz w:val="18"/>
                <w:szCs w:val="18"/>
              </w:rPr>
            </w:pPr>
            <w:r>
              <w:rPr>
                <w:color w:val="000000"/>
                <w:sz w:val="18"/>
                <w:szCs w:val="18"/>
              </w:rPr>
              <w:t xml:space="preserve">14 OFDM symbol </w:t>
            </w:r>
            <w:r>
              <w:rPr>
                <w:rFonts w:hint="eastAsia"/>
                <w:color w:val="000000"/>
                <w:sz w:val="18"/>
                <w:szCs w:val="18"/>
              </w:rPr>
              <w:t xml:space="preserve">per </w:t>
            </w:r>
            <w:r>
              <w:rPr>
                <w:color w:val="000000"/>
                <w:sz w:val="18"/>
                <w:szCs w:val="18"/>
              </w:rPr>
              <w:t xml:space="preserve">slot, </w:t>
            </w:r>
            <w:r>
              <w:rPr>
                <w:rFonts w:hint="eastAsia"/>
                <w:color w:val="000000"/>
                <w:sz w:val="18"/>
                <w:szCs w:val="18"/>
              </w:rPr>
              <w:t>15</w:t>
            </w:r>
            <w:r>
              <w:rPr>
                <w:color w:val="000000"/>
                <w:sz w:val="18"/>
                <w:szCs w:val="18"/>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Bandwidth</w:t>
            </w:r>
          </w:p>
        </w:tc>
        <w:tc>
          <w:tcPr>
            <w:tcW w:w="4504" w:type="dxa"/>
            <w:shd w:val="clear" w:color="auto" w:fill="auto"/>
            <w:noWrap/>
            <w:vAlign w:val="center"/>
          </w:tcPr>
          <w:p>
            <w:pPr>
              <w:spacing w:after="0"/>
              <w:rPr>
                <w:color w:val="000000"/>
                <w:sz w:val="18"/>
                <w:szCs w:val="18"/>
              </w:rPr>
            </w:pPr>
            <w:r>
              <w:rPr>
                <w:rFonts w:hint="eastAsia"/>
                <w:color w:val="000000"/>
                <w:sz w:val="18"/>
                <w:szCs w:val="18"/>
              </w:rPr>
              <w:t>1</w:t>
            </w:r>
            <w:r>
              <w:rPr>
                <w:color w:val="000000"/>
                <w:sz w:val="18"/>
                <w:szCs w:val="18"/>
                <w:lang w:eastAsia="ja-JP"/>
              </w:rPr>
              <w:t>0MHz</w:t>
            </w:r>
            <w:r>
              <w:rPr>
                <w:rFonts w:hint="eastAsia"/>
                <w:color w:val="000000"/>
                <w:sz w:val="18"/>
                <w:szCs w:val="18"/>
              </w:rPr>
              <w:t>, 52RBs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receiver</w:t>
            </w:r>
          </w:p>
        </w:tc>
        <w:tc>
          <w:tcPr>
            <w:tcW w:w="4504" w:type="dxa"/>
            <w:shd w:val="clear" w:color="auto" w:fill="auto"/>
            <w:noWrap/>
            <w:vAlign w:val="center"/>
          </w:tcPr>
          <w:p>
            <w:pPr>
              <w:spacing w:after="0"/>
              <w:rPr>
                <w:color w:val="000000"/>
                <w:sz w:val="18"/>
                <w:szCs w:val="18"/>
              </w:rPr>
            </w:pPr>
            <w:r>
              <w:rPr>
                <w:color w:val="000000"/>
                <w:sz w:val="18"/>
                <w:szCs w:val="18"/>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Network Layout</w:t>
            </w:r>
          </w:p>
        </w:tc>
        <w:tc>
          <w:tcPr>
            <w:tcW w:w="4504" w:type="dxa"/>
            <w:shd w:val="clear" w:color="auto" w:fill="auto"/>
            <w:vAlign w:val="center"/>
          </w:tcPr>
          <w:p>
            <w:pPr>
              <w:spacing w:after="0"/>
              <w:rPr>
                <w:color w:val="000000"/>
                <w:sz w:val="18"/>
                <w:szCs w:val="18"/>
              </w:rPr>
            </w:pPr>
            <w:r>
              <w:rPr>
                <w:rFonts w:hint="eastAsia"/>
                <w:color w:val="000000"/>
                <w:sz w:val="18"/>
                <w:szCs w:val="18"/>
              </w:rPr>
              <w:t>40</w:t>
            </w:r>
            <w:r>
              <w:rPr>
                <w:color w:val="000000"/>
                <w:sz w:val="18"/>
                <w:szCs w:val="18"/>
              </w:rPr>
              <w:t xml:space="preserve"> UEs per </w:t>
            </w:r>
            <w:r>
              <w:rPr>
                <w:rFonts w:hint="eastAsia"/>
                <w:color w:val="000000"/>
                <w:sz w:val="18"/>
                <w:szCs w:val="18"/>
              </w:rPr>
              <w:t>sec</w:t>
            </w:r>
            <w:r>
              <w:rPr>
                <w:color w:val="000000"/>
                <w:sz w:val="18"/>
                <w:szCs w:val="18"/>
              </w:rPr>
              <w:t xml:space="preserve"> (in a total of </w:t>
            </w:r>
            <w:r>
              <w:rPr>
                <w:rFonts w:hint="eastAsia"/>
                <w:color w:val="000000"/>
                <w:sz w:val="18"/>
                <w:szCs w:val="18"/>
              </w:rPr>
              <w:t>21</w:t>
            </w:r>
            <w:r>
              <w:rPr>
                <w:color w:val="000000"/>
                <w:sz w:val="18"/>
                <w:szCs w:val="18"/>
              </w:rPr>
              <w:t xml:space="preserve"> </w:t>
            </w:r>
            <w:r>
              <w:rPr>
                <w:rFonts w:hint="eastAsia"/>
                <w:color w:val="000000"/>
                <w:sz w:val="18"/>
                <w:szCs w:val="18"/>
              </w:rPr>
              <w:t>sec</w:t>
            </w:r>
            <w:r>
              <w:rPr>
                <w:color w:val="000000"/>
                <w:sz w:val="18"/>
                <w:szCs w:val="18"/>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PMI/CQI feedback</w:t>
            </w:r>
          </w:p>
        </w:tc>
        <w:tc>
          <w:tcPr>
            <w:tcW w:w="4504" w:type="dxa"/>
            <w:shd w:val="clear" w:color="auto" w:fill="auto"/>
            <w:vAlign w:val="center"/>
          </w:tcPr>
          <w:p>
            <w:pPr>
              <w:spacing w:after="0"/>
              <w:rPr>
                <w:color w:val="000000"/>
                <w:sz w:val="18"/>
                <w:szCs w:val="18"/>
              </w:rPr>
            </w:pPr>
            <w:r>
              <w:rPr>
                <w:color w:val="000000"/>
                <w:sz w:val="18"/>
                <w:szCs w:val="18"/>
              </w:rPr>
              <w:t>Subband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distribution</w:t>
            </w:r>
          </w:p>
        </w:tc>
        <w:tc>
          <w:tcPr>
            <w:tcW w:w="4504" w:type="dxa"/>
            <w:shd w:val="clear" w:color="auto" w:fill="auto"/>
            <w:vAlign w:val="center"/>
          </w:tcPr>
          <w:p>
            <w:pPr>
              <w:spacing w:after="0"/>
              <w:rPr>
                <w:color w:val="000000"/>
                <w:sz w:val="18"/>
                <w:szCs w:val="18"/>
              </w:rPr>
            </w:pPr>
            <w:r>
              <w:rPr>
                <w:rFonts w:hint="eastAsia"/>
                <w:color w:val="000000"/>
                <w:sz w:val="18"/>
                <w:szCs w:val="18"/>
              </w:rPr>
              <w:t>20</w:t>
            </w:r>
            <w:r>
              <w:rPr>
                <w:color w:val="000000"/>
                <w:sz w:val="18"/>
                <w:szCs w:val="18"/>
              </w:rPr>
              <w:t>% outdoor (30km/h)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Traffic model</w:t>
            </w:r>
          </w:p>
        </w:tc>
        <w:tc>
          <w:tcPr>
            <w:tcW w:w="4504" w:type="dxa"/>
            <w:shd w:val="clear" w:color="auto" w:fill="auto"/>
            <w:vAlign w:val="center"/>
          </w:tcPr>
          <w:p>
            <w:pPr>
              <w:spacing w:after="0"/>
              <w:rPr>
                <w:color w:val="000000"/>
                <w:sz w:val="18"/>
                <w:szCs w:val="18"/>
              </w:rPr>
            </w:pPr>
            <w:r>
              <w:rPr>
                <w:rFonts w:hint="eastAsia"/>
                <w:color w:val="000000"/>
                <w:sz w:val="18"/>
                <w:szCs w:val="18"/>
              </w:rPr>
              <w:t>FTP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CSI feedback</w:t>
            </w:r>
            <w:r>
              <w:rPr>
                <w:rFonts w:hint="eastAsia"/>
                <w:color w:val="000000"/>
                <w:sz w:val="18"/>
                <w:szCs w:val="18"/>
              </w:rPr>
              <w:t xml:space="preserve"> delay</w:t>
            </w:r>
          </w:p>
        </w:tc>
        <w:tc>
          <w:tcPr>
            <w:tcW w:w="4504" w:type="dxa"/>
            <w:shd w:val="clear" w:color="auto" w:fill="auto"/>
            <w:vAlign w:val="center"/>
          </w:tcPr>
          <w:p>
            <w:pPr>
              <w:spacing w:after="0"/>
              <w:rPr>
                <w:color w:val="000000"/>
                <w:sz w:val="18"/>
                <w:szCs w:val="18"/>
              </w:rPr>
            </w:pPr>
            <w:r>
              <w:rPr>
                <w:rFonts w:hint="eastAsia"/>
                <w:color w:val="000000"/>
                <w:sz w:val="18"/>
                <w:szCs w:val="18"/>
              </w:rPr>
              <w:t>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MIMO scheme</w:t>
            </w:r>
          </w:p>
        </w:tc>
        <w:tc>
          <w:tcPr>
            <w:tcW w:w="4504" w:type="dxa"/>
            <w:shd w:val="clear" w:color="auto" w:fill="auto"/>
            <w:vAlign w:val="center"/>
          </w:tcPr>
          <w:p>
            <w:pPr>
              <w:spacing w:after="0"/>
              <w:rPr>
                <w:color w:val="000000"/>
                <w:sz w:val="18"/>
                <w:szCs w:val="18"/>
              </w:rPr>
            </w:pPr>
            <w:r>
              <w:rPr>
                <w:rFonts w:hint="eastAsia"/>
                <w:color w:val="000000"/>
                <w:sz w:val="18"/>
                <w:szCs w:val="18"/>
              </w:rPr>
              <w:t>S</w:t>
            </w:r>
            <w:r>
              <w:rPr>
                <w:color w:val="000000"/>
                <w:sz w:val="18"/>
                <w:szCs w:val="18"/>
              </w:rPr>
              <w:t>U</w:t>
            </w:r>
            <w:r>
              <w:rPr>
                <w:rFonts w:hint="eastAsia"/>
                <w:color w:val="000000"/>
                <w:sz w:val="18"/>
                <w:szCs w:val="18"/>
              </w:rPr>
              <w:t>/MU</w:t>
            </w:r>
            <w:r>
              <w:rPr>
                <w:color w:val="000000"/>
                <w:sz w:val="18"/>
                <w:szCs w:val="18"/>
              </w:rPr>
              <w:t>-MIMO with rank adaptation</w:t>
            </w:r>
          </w:p>
          <w:p>
            <w:pPr>
              <w:spacing w:after="0"/>
              <w:rPr>
                <w:color w:val="000000"/>
                <w:sz w:val="18"/>
                <w:szCs w:val="18"/>
              </w:rPr>
            </w:pPr>
            <w:r>
              <w:rPr>
                <w:color w:val="000000"/>
                <w:sz w:val="18"/>
                <w:szCs w:val="18"/>
              </w:rPr>
              <w:t>Maximum rank = 4 per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Performance metrics</w:t>
            </w:r>
          </w:p>
        </w:tc>
        <w:tc>
          <w:tcPr>
            <w:tcW w:w="4504" w:type="dxa"/>
            <w:shd w:val="clear" w:color="auto" w:fill="auto"/>
            <w:vAlign w:val="center"/>
          </w:tcPr>
          <w:p>
            <w:pPr>
              <w:spacing w:after="0"/>
              <w:rPr>
                <w:color w:val="000000"/>
                <w:sz w:val="18"/>
                <w:szCs w:val="18"/>
              </w:rPr>
            </w:pPr>
            <w:r>
              <w:rPr>
                <w:rFonts w:hint="eastAsia"/>
                <w:color w:val="000000"/>
                <w:sz w:val="18"/>
                <w:szCs w:val="18"/>
              </w:rPr>
              <w:t xml:space="preserve">5%-ile and </w:t>
            </w:r>
            <w:r>
              <w:rPr>
                <w:color w:val="000000"/>
                <w:sz w:val="18"/>
                <w:szCs w:val="18"/>
              </w:rPr>
              <w:t>Average UPT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92" w:type="dxa"/>
            <w:shd w:val="clear" w:color="auto" w:fill="auto"/>
            <w:vAlign w:val="center"/>
          </w:tcPr>
          <w:p>
            <w:pPr>
              <w:spacing w:after="0"/>
              <w:jc w:val="center"/>
              <w:rPr>
                <w:color w:val="000000"/>
                <w:sz w:val="18"/>
                <w:szCs w:val="18"/>
              </w:rPr>
            </w:pPr>
            <w:r>
              <w:rPr>
                <w:rFonts w:hint="eastAsia"/>
                <w:color w:val="000000"/>
                <w:sz w:val="18"/>
                <w:szCs w:val="18"/>
              </w:rPr>
              <w:t>Vertical distribution of indoor users</w:t>
            </w:r>
          </w:p>
        </w:tc>
        <w:tc>
          <w:tcPr>
            <w:tcW w:w="4504" w:type="dxa"/>
            <w:shd w:val="clear" w:color="auto" w:fill="auto"/>
            <w:vAlign w:val="center"/>
          </w:tcPr>
          <w:p>
            <w:pPr>
              <w:spacing w:after="0"/>
              <w:rPr>
                <w:color w:val="000000"/>
                <w:sz w:val="18"/>
                <w:szCs w:val="18"/>
              </w:rPr>
            </w:pPr>
            <w:r>
              <w:rPr>
                <w:rFonts w:hint="eastAsia"/>
                <w:color w:val="000000"/>
                <w:sz w:val="18"/>
                <w:szCs w:val="18"/>
              </w:rPr>
              <w:t>Uniform distribution within [0, 60]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92" w:type="dxa"/>
            <w:shd w:val="clear" w:color="auto" w:fill="auto"/>
            <w:vAlign w:val="center"/>
          </w:tcPr>
          <w:p>
            <w:pPr>
              <w:spacing w:after="0"/>
              <w:jc w:val="center"/>
              <w:rPr>
                <w:color w:val="000000"/>
                <w:sz w:val="18"/>
                <w:szCs w:val="18"/>
              </w:rPr>
            </w:pPr>
            <w:r>
              <w:rPr>
                <w:rFonts w:hint="eastAsia"/>
                <w:color w:val="000000"/>
                <w:sz w:val="18"/>
                <w:szCs w:val="18"/>
              </w:rPr>
              <w:t xml:space="preserve">3-bit scaling factor configuration of vertical beams </w:t>
            </w:r>
          </w:p>
        </w:tc>
        <w:tc>
          <w:tcPr>
            <w:tcW w:w="4504" w:type="dxa"/>
            <w:shd w:val="clear" w:color="auto" w:fill="auto"/>
            <w:vAlign w:val="center"/>
          </w:tcPr>
          <w:p>
            <w:pPr>
              <w:spacing w:after="0"/>
              <w:rPr>
                <w:color w:val="000000"/>
                <w:sz w:val="18"/>
                <w:szCs w:val="18"/>
              </w:rPr>
            </w:pPr>
            <m:oMath>
              <m:rad>
                <m:radPr>
                  <m:degHide m:val="1"/>
                  <m:ctrlPr>
                    <w:rPr>
                      <w:rFonts w:ascii="Cambria Math" w:hAnsi="Cambria Math"/>
                      <w:i/>
                      <w:color w:val="000000"/>
                      <w:sz w:val="18"/>
                      <w:szCs w:val="18"/>
                    </w:rPr>
                  </m:ctrlPr>
                </m:radPr>
                <m:deg>
                  <m:ctrlPr>
                    <w:rPr>
                      <w:rFonts w:ascii="Cambria Math" w:hAnsi="Cambria Math"/>
                      <w:i/>
                      <w:color w:val="000000"/>
                      <w:sz w:val="18"/>
                      <w:szCs w:val="18"/>
                    </w:rPr>
                  </m:ctrlPr>
                </m:deg>
                <m:e>
                  <m:r>
                    <m:rPr/>
                    <w:rPr>
                      <w:rFonts w:ascii="Cambria Math" w:hAnsi="Cambria Math"/>
                      <w:color w:val="000000"/>
                      <w:sz w:val="18"/>
                      <w:szCs w:val="18"/>
                    </w:rPr>
                    <m:t>1/12</m:t>
                  </m:r>
                  <m:ctrlPr>
                    <w:rPr>
                      <w:rFonts w:ascii="Cambria Math" w:hAnsi="Cambria Math"/>
                      <w:i/>
                      <w:color w:val="000000"/>
                      <w:sz w:val="18"/>
                      <w:szCs w:val="18"/>
                    </w:rPr>
                  </m:ctrlPr>
                </m:e>
              </m:rad>
            </m:oMath>
            <w:r>
              <w:rPr>
                <w:rFonts w:hint="eastAsia" w:hAnsi="Cambria Math"/>
                <w:color w:val="000000"/>
                <w:sz w:val="18"/>
                <w:szCs w:val="18"/>
              </w:rPr>
              <w:t xml:space="preserve">, </w:t>
            </w:r>
            <m:oMath>
              <m:rad>
                <m:radPr>
                  <m:degHide m:val="1"/>
                  <m:ctrlPr>
                    <w:rPr>
                      <w:rFonts w:ascii="Cambria Math" w:hAnsi="Cambria Math"/>
                      <w:i/>
                      <w:color w:val="000000"/>
                      <w:sz w:val="18"/>
                      <w:szCs w:val="18"/>
                    </w:rPr>
                  </m:ctrlPr>
                </m:radPr>
                <m:deg>
                  <m:ctrlPr>
                    <w:rPr>
                      <w:rFonts w:ascii="Cambria Math" w:hAnsi="Cambria Math"/>
                      <w:i/>
                      <w:color w:val="000000"/>
                      <w:sz w:val="18"/>
                      <w:szCs w:val="18"/>
                    </w:rPr>
                  </m:ctrlPr>
                </m:deg>
                <m:e>
                  <m:r>
                    <m:rPr/>
                    <w:rPr>
                      <w:rFonts w:ascii="Cambria Math" w:hAnsi="Cambria Math"/>
                      <w:color w:val="000000"/>
                      <w:sz w:val="18"/>
                      <w:szCs w:val="18"/>
                    </w:rPr>
                    <m:t>1/16</m:t>
                  </m:r>
                  <m:ctrlPr>
                    <w:rPr>
                      <w:rFonts w:ascii="Cambria Math" w:hAnsi="Cambria Math"/>
                      <w:i/>
                      <w:color w:val="000000"/>
                      <w:sz w:val="18"/>
                      <w:szCs w:val="18"/>
                    </w:rPr>
                  </m:ctrlPr>
                </m:e>
              </m:rad>
            </m:oMath>
            <w:r>
              <w:rPr>
                <w:rFonts w:hint="eastAsia" w:hAnsi="Cambria Math"/>
                <w:color w:val="000000"/>
                <w:sz w:val="18"/>
                <w:szCs w:val="18"/>
              </w:rPr>
              <w:t>,</w:t>
            </w:r>
            <m:oMath>
              <m:r>
                <m:rPr>
                  <m:sty m:val="p"/>
                </m:rPr>
                <w:rPr>
                  <w:rFonts w:ascii="Cambria Math" w:hAnsi="Cambria Math"/>
                  <w:color w:val="000000"/>
                  <w:sz w:val="18"/>
                  <w:szCs w:val="18"/>
                </w:rPr>
                <m:t xml:space="preserve"> </m:t>
              </m:r>
              <m:rad>
                <m:radPr>
                  <m:degHide m:val="1"/>
                  <m:ctrlPr>
                    <w:rPr>
                      <w:rFonts w:ascii="Cambria Math" w:hAnsi="Cambria Math"/>
                      <w:i/>
                      <w:color w:val="000000"/>
                      <w:sz w:val="18"/>
                      <w:szCs w:val="18"/>
                    </w:rPr>
                  </m:ctrlPr>
                </m:radPr>
                <m:deg>
                  <m:ctrlPr>
                    <w:rPr>
                      <w:rFonts w:ascii="Cambria Math" w:hAnsi="Cambria Math"/>
                      <w:i/>
                      <w:color w:val="000000"/>
                      <w:sz w:val="18"/>
                      <w:szCs w:val="18"/>
                    </w:rPr>
                  </m:ctrlPr>
                </m:deg>
                <m:e>
                  <m:r>
                    <m:rPr/>
                    <w:rPr>
                      <w:rFonts w:ascii="Cambria Math" w:hAnsi="Cambria Math"/>
                      <w:color w:val="000000"/>
                      <w:sz w:val="18"/>
                      <w:szCs w:val="18"/>
                    </w:rPr>
                    <m:t>1/16</m:t>
                  </m:r>
                  <m:ctrlPr>
                    <w:rPr>
                      <w:rFonts w:ascii="Cambria Math" w:hAnsi="Cambria Math"/>
                      <w:i/>
                      <w:color w:val="000000"/>
                      <w:sz w:val="18"/>
                      <w:szCs w:val="18"/>
                    </w:rPr>
                  </m:ctrlPr>
                </m:e>
              </m:rad>
            </m:oMath>
            <w:r>
              <w:rPr>
                <w:rFonts w:hint="eastAsia" w:hAnsi="Cambria Math"/>
                <w:color w:val="000000"/>
                <w:sz w:val="18"/>
                <w:szCs w:val="18"/>
              </w:rPr>
              <w:t xml:space="preserve">, </w:t>
            </w:r>
            <m:oMath>
              <m:rad>
                <m:radPr>
                  <m:degHide m:val="1"/>
                  <m:ctrlPr>
                    <w:rPr>
                      <w:rFonts w:ascii="Cambria Math" w:hAnsi="Cambria Math"/>
                      <w:i/>
                      <w:color w:val="000000"/>
                      <w:sz w:val="18"/>
                      <w:szCs w:val="18"/>
                    </w:rPr>
                  </m:ctrlPr>
                </m:radPr>
                <m:deg>
                  <m:ctrlPr>
                    <w:rPr>
                      <w:rFonts w:ascii="Cambria Math" w:hAnsi="Cambria Math"/>
                      <w:i/>
                      <w:color w:val="000000"/>
                      <w:sz w:val="18"/>
                      <w:szCs w:val="18"/>
                    </w:rPr>
                  </m:ctrlPr>
                </m:deg>
                <m:e>
                  <m:r>
                    <m:rPr/>
                    <w:rPr>
                      <w:rFonts w:ascii="Cambria Math" w:hAnsi="Cambria Math"/>
                      <w:color w:val="000000"/>
                      <w:sz w:val="18"/>
                      <w:szCs w:val="18"/>
                    </w:rPr>
                    <m:t>1/16</m:t>
                  </m:r>
                  <m:ctrlPr>
                    <w:rPr>
                      <w:rFonts w:ascii="Cambria Math" w:hAnsi="Cambria Math"/>
                      <w:i/>
                      <w:color w:val="000000"/>
                      <w:sz w:val="18"/>
                      <w:szCs w:val="18"/>
                    </w:rPr>
                  </m:ctrlPr>
                </m:e>
              </m:rad>
            </m:oMath>
            <w:r>
              <w:rPr>
                <w:rFonts w:hint="eastAsia" w:hAnsi="Cambria Math"/>
                <w:color w:val="000000"/>
                <w:sz w:val="18"/>
                <w:szCs w:val="18"/>
              </w:rPr>
              <w:t xml:space="preserve">, </w:t>
            </w:r>
            <m:oMath>
              <m:rad>
                <m:radPr>
                  <m:degHide m:val="1"/>
                  <m:ctrlPr>
                    <w:rPr>
                      <w:rFonts w:ascii="Cambria Math" w:hAnsi="Cambria Math"/>
                      <w:i/>
                      <w:color w:val="000000"/>
                      <w:sz w:val="18"/>
                      <w:szCs w:val="18"/>
                    </w:rPr>
                  </m:ctrlPr>
                </m:radPr>
                <m:deg>
                  <m:ctrlPr>
                    <w:rPr>
                      <w:rFonts w:ascii="Cambria Math" w:hAnsi="Cambria Math"/>
                      <w:i/>
                      <w:color w:val="000000"/>
                      <w:sz w:val="18"/>
                      <w:szCs w:val="18"/>
                    </w:rPr>
                  </m:ctrlPr>
                </m:deg>
                <m:e>
                  <m:r>
                    <m:rPr/>
                    <w:rPr>
                      <w:rFonts w:ascii="Cambria Math" w:hAnsi="Cambria Math"/>
                      <w:color w:val="000000"/>
                      <w:sz w:val="18"/>
                      <w:szCs w:val="18"/>
                    </w:rPr>
                    <m:t>1/12</m:t>
                  </m:r>
                  <m:ctrlPr>
                    <w:rPr>
                      <w:rFonts w:ascii="Cambria Math" w:hAnsi="Cambria Math"/>
                      <w:i/>
                      <w:color w:val="000000"/>
                      <w:sz w:val="18"/>
                      <w:szCs w:val="18"/>
                    </w:rPr>
                  </m:ctrlPr>
                </m:e>
              </m:rad>
            </m:oMath>
            <w:r>
              <w:rPr>
                <w:rFonts w:hint="eastAsia" w:hAnsi="Cambria Math"/>
                <w:color w:val="000000"/>
                <w:sz w:val="18"/>
                <w:szCs w:val="18"/>
              </w:rPr>
              <w:t xml:space="preserve">, </w:t>
            </w:r>
            <m:oMath>
              <m:rad>
                <m:radPr>
                  <m:degHide m:val="1"/>
                  <m:ctrlPr>
                    <w:rPr>
                      <w:rFonts w:ascii="Cambria Math" w:hAnsi="Cambria Math"/>
                      <w:i/>
                      <w:color w:val="000000"/>
                      <w:sz w:val="18"/>
                      <w:szCs w:val="18"/>
                    </w:rPr>
                  </m:ctrlPr>
                </m:radPr>
                <m:deg>
                  <m:ctrlPr>
                    <w:rPr>
                      <w:rFonts w:ascii="Cambria Math" w:hAnsi="Cambria Math"/>
                      <w:i/>
                      <w:color w:val="000000"/>
                      <w:sz w:val="18"/>
                      <w:szCs w:val="18"/>
                    </w:rPr>
                  </m:ctrlPr>
                </m:deg>
                <m:e>
                  <m:r>
                    <m:rPr/>
                    <w:rPr>
                      <w:rFonts w:ascii="Cambria Math" w:hAnsi="Cambria Math"/>
                      <w:color w:val="000000"/>
                      <w:sz w:val="18"/>
                      <w:szCs w:val="18"/>
                    </w:rPr>
                    <m:t>1/12</m:t>
                  </m:r>
                  <m:ctrlPr>
                    <w:rPr>
                      <w:rFonts w:ascii="Cambria Math" w:hAnsi="Cambria Math"/>
                      <w:i/>
                      <w:color w:val="000000"/>
                      <w:sz w:val="18"/>
                      <w:szCs w:val="18"/>
                    </w:rPr>
                  </m:ctrlPr>
                </m:e>
              </m:rad>
            </m:oMath>
            <w:r>
              <w:rPr>
                <w:rFonts w:hint="eastAsia" w:hAnsi="Cambria Math"/>
                <w:color w:val="000000"/>
                <w:sz w:val="18"/>
                <w:szCs w:val="18"/>
              </w:rPr>
              <w:t xml:space="preserve">, </w:t>
            </w:r>
            <m:oMath>
              <m:rad>
                <m:radPr>
                  <m:degHide m:val="1"/>
                  <m:ctrlPr>
                    <w:rPr>
                      <w:rFonts w:ascii="Cambria Math" w:hAnsi="Cambria Math"/>
                      <w:i/>
                      <w:color w:val="000000"/>
                      <w:sz w:val="18"/>
                      <w:szCs w:val="18"/>
                    </w:rPr>
                  </m:ctrlPr>
                </m:radPr>
                <m:deg>
                  <m:ctrlPr>
                    <w:rPr>
                      <w:rFonts w:ascii="Cambria Math" w:hAnsi="Cambria Math"/>
                      <w:i/>
                      <w:color w:val="000000"/>
                      <w:sz w:val="18"/>
                      <w:szCs w:val="18"/>
                    </w:rPr>
                  </m:ctrlPr>
                </m:deg>
                <m:e>
                  <m:r>
                    <m:rPr/>
                    <w:rPr>
                      <w:rFonts w:ascii="Cambria Math" w:hAnsi="Cambria Math"/>
                      <w:color w:val="000000"/>
                      <w:sz w:val="18"/>
                      <w:szCs w:val="18"/>
                    </w:rPr>
                    <m:t>1/6</m:t>
                  </m:r>
                  <m:ctrlPr>
                    <w:rPr>
                      <w:rFonts w:ascii="Cambria Math" w:hAnsi="Cambria Math"/>
                      <w:i/>
                      <w:color w:val="000000"/>
                      <w:sz w:val="18"/>
                      <w:szCs w:val="18"/>
                    </w:rPr>
                  </m:ctrlPr>
                </m:e>
              </m:rad>
            </m:oMath>
            <w:r>
              <w:rPr>
                <w:rFonts w:hint="eastAsia" w:hAnsi="Cambria Math"/>
                <w:color w:val="000000"/>
                <w:sz w:val="18"/>
                <w:szCs w:val="18"/>
              </w:rPr>
              <w:t>,</w:t>
            </w:r>
            <m:oMath>
              <m:r>
                <m:rPr>
                  <m:sty m:val="p"/>
                </m:rPr>
                <w:rPr>
                  <w:rFonts w:ascii="Cambria Math" w:hAnsi="Cambria Math"/>
                  <w:color w:val="000000"/>
                  <w:sz w:val="18"/>
                  <w:szCs w:val="18"/>
                </w:rPr>
                <m:t xml:space="preserve"> </m:t>
              </m:r>
              <m:rad>
                <m:radPr>
                  <m:degHide m:val="1"/>
                  <m:ctrlPr>
                    <w:rPr>
                      <w:rFonts w:ascii="Cambria Math" w:hAnsi="Cambria Math"/>
                      <w:i/>
                      <w:color w:val="000000"/>
                      <w:sz w:val="18"/>
                      <w:szCs w:val="18"/>
                    </w:rPr>
                  </m:ctrlPr>
                </m:radPr>
                <m:deg>
                  <m:ctrlPr>
                    <w:rPr>
                      <w:rFonts w:ascii="Cambria Math" w:hAnsi="Cambria Math"/>
                      <w:i/>
                      <w:color w:val="000000"/>
                      <w:sz w:val="18"/>
                      <w:szCs w:val="18"/>
                    </w:rPr>
                  </m:ctrlPr>
                </m:deg>
                <m:e>
                  <m:r>
                    <m:rPr/>
                    <w:rPr>
                      <w:rFonts w:ascii="Cambria Math" w:hAnsi="Cambria Math"/>
                      <w:color w:val="000000"/>
                      <w:sz w:val="18"/>
                      <w:szCs w:val="18"/>
                    </w:rPr>
                    <m:t>1/8</m:t>
                  </m:r>
                  <m:ctrlPr>
                    <w:rPr>
                      <w:rFonts w:ascii="Cambria Math" w:hAnsi="Cambria Math"/>
                      <w:i/>
                      <w:color w:val="000000"/>
                      <w:sz w:val="18"/>
                      <w:szCs w:val="18"/>
                    </w:rPr>
                  </m:ctrlPr>
                </m:e>
              </m:rad>
            </m:oMath>
            <w:r>
              <w:rPr>
                <w:rFonts w:hint="eastAsia" w:hAnsi="Cambria Math"/>
                <w:color w:val="000000"/>
                <w:sz w:val="18"/>
                <w:szCs w:val="18"/>
              </w:rPr>
              <w:t xml:space="preserve">, </w:t>
            </w:r>
            <m:oMath>
              <m:rad>
                <m:radPr>
                  <m:degHide m:val="1"/>
                  <m:ctrlPr>
                    <w:rPr>
                      <w:rFonts w:ascii="Cambria Math" w:hAnsi="Cambria Math"/>
                      <w:i/>
                      <w:color w:val="000000"/>
                      <w:sz w:val="18"/>
                      <w:szCs w:val="18"/>
                    </w:rPr>
                  </m:ctrlPr>
                </m:radPr>
                <m:deg>
                  <m:ctrlPr>
                    <w:rPr>
                      <w:rFonts w:ascii="Cambria Math" w:hAnsi="Cambria Math"/>
                      <w:i/>
                      <w:color w:val="000000"/>
                      <w:sz w:val="18"/>
                      <w:szCs w:val="18"/>
                    </w:rPr>
                  </m:ctrlPr>
                </m:deg>
                <m:e>
                  <m:r>
                    <m:rPr/>
                    <w:rPr>
                      <w:rFonts w:ascii="Cambria Math" w:hAnsi="Cambria Math"/>
                      <w:color w:val="000000"/>
                      <w:sz w:val="18"/>
                      <w:szCs w:val="18"/>
                    </w:rPr>
                    <m:t>1/6</m:t>
                  </m:r>
                  <m:ctrlPr>
                    <w:rPr>
                      <w:rFonts w:ascii="Cambria Math" w:hAnsi="Cambria Math"/>
                      <w:i/>
                      <w:color w:val="000000"/>
                      <w:sz w:val="18"/>
                      <w:szCs w:val="18"/>
                    </w:rPr>
                  </m:ctrlPr>
                </m:e>
              </m:rad>
            </m:oMath>
            <w:r>
              <w:rPr>
                <w:rFonts w:hint="eastAsia" w:hAnsi="Cambria Math"/>
                <w:color w:val="000000"/>
                <w:sz w:val="18"/>
                <w:szCs w:val="18"/>
              </w:rPr>
              <w:t xml:space="preserve">, </w:t>
            </w:r>
            <m:oMath>
              <m:rad>
                <m:radPr>
                  <m:degHide m:val="1"/>
                  <m:ctrlPr>
                    <w:rPr>
                      <w:rFonts w:ascii="Cambria Math" w:hAnsi="Cambria Math"/>
                      <w:i/>
                      <w:color w:val="000000"/>
                      <w:sz w:val="18"/>
                      <w:szCs w:val="18"/>
                    </w:rPr>
                  </m:ctrlPr>
                </m:radPr>
                <m:deg>
                  <m:ctrlPr>
                    <w:rPr>
                      <w:rFonts w:ascii="Cambria Math" w:hAnsi="Cambria Math"/>
                      <w:i/>
                      <w:color w:val="000000"/>
                      <w:sz w:val="18"/>
                      <w:szCs w:val="18"/>
                    </w:rPr>
                  </m:ctrlPr>
                </m:deg>
                <m:e>
                  <m:r>
                    <m:rPr/>
                    <w:rPr>
                      <w:rFonts w:ascii="Cambria Math" w:hAnsi="Cambria Math"/>
                      <w:color w:val="000000"/>
                      <w:sz w:val="18"/>
                      <w:szCs w:val="18"/>
                    </w:rPr>
                    <m:t>1/4</m:t>
                  </m:r>
                  <m:ctrlPr>
                    <w:rPr>
                      <w:rFonts w:ascii="Cambria Math" w:hAnsi="Cambria Math"/>
                      <w:i/>
                      <w:color w:val="000000"/>
                      <w:sz w:val="18"/>
                      <w:szCs w:val="18"/>
                    </w:rPr>
                  </m:ctrlPr>
                </m:e>
              </m:rad>
            </m:oMath>
            <w:r>
              <w:rPr>
                <w:rFonts w:hint="eastAsia" w:hAnsi="Cambria Math"/>
                <w:color w:val="000000"/>
                <w:sz w:val="18"/>
                <w:szCs w:val="18"/>
              </w:rPr>
              <w:t xml:space="preserve">, </w:t>
            </w:r>
            <m:oMath>
              <m:rad>
                <m:radPr>
                  <m:degHide m:val="1"/>
                  <m:ctrlPr>
                    <w:rPr>
                      <w:rFonts w:ascii="Cambria Math" w:hAnsi="Cambria Math"/>
                      <w:i/>
                      <w:color w:val="000000"/>
                      <w:sz w:val="18"/>
                      <w:szCs w:val="18"/>
                    </w:rPr>
                  </m:ctrlPr>
                </m:radPr>
                <m:deg>
                  <m:ctrlPr>
                    <w:rPr>
                      <w:rFonts w:ascii="Cambria Math" w:hAnsi="Cambria Math"/>
                      <w:i/>
                      <w:color w:val="000000"/>
                      <w:sz w:val="18"/>
                      <w:szCs w:val="18"/>
                    </w:rPr>
                  </m:ctrlPr>
                </m:deg>
                <m:e>
                  <m:r>
                    <m:rPr/>
                    <w:rPr>
                      <w:rFonts w:ascii="Cambria Math" w:hAnsi="Cambria Math"/>
                      <w:color w:val="000000"/>
                      <w:sz w:val="18"/>
                      <w:szCs w:val="18"/>
                    </w:rPr>
                    <m:t>1/2</m:t>
                  </m:r>
                  <m:ctrlPr>
                    <w:rPr>
                      <w:rFonts w:ascii="Cambria Math" w:hAnsi="Cambria Math"/>
                      <w:i/>
                      <w:color w:val="000000"/>
                      <w:sz w:val="18"/>
                      <w:szCs w:val="18"/>
                    </w:rPr>
                  </m:ctrlPr>
                </m:e>
              </m:rad>
            </m:oMath>
            <w:r>
              <w:rPr>
                <w:rFonts w:hint="eastAsia" w:hAnsi="Cambria Math"/>
                <w:color w:val="000000"/>
                <w:sz w:val="18"/>
                <w:szCs w:val="18"/>
              </w:rPr>
              <w:t xml:space="preserve">, 1, 1, 1, </w:t>
            </w:r>
            <m:oMath>
              <m:rad>
                <m:radPr>
                  <m:degHide m:val="1"/>
                  <m:ctrlPr>
                    <w:rPr>
                      <w:rFonts w:ascii="Cambria Math" w:hAnsi="Cambria Math"/>
                      <w:i/>
                      <w:color w:val="000000"/>
                      <w:sz w:val="18"/>
                      <w:szCs w:val="18"/>
                    </w:rPr>
                  </m:ctrlPr>
                </m:radPr>
                <m:deg>
                  <m:ctrlPr>
                    <w:rPr>
                      <w:rFonts w:ascii="Cambria Math" w:hAnsi="Cambria Math"/>
                      <w:i/>
                      <w:color w:val="000000"/>
                      <w:sz w:val="18"/>
                      <w:szCs w:val="18"/>
                    </w:rPr>
                  </m:ctrlPr>
                </m:deg>
                <m:e>
                  <m:r>
                    <m:rPr/>
                    <w:rPr>
                      <w:rFonts w:ascii="Cambria Math" w:hAnsi="Cambria Math"/>
                      <w:color w:val="000000"/>
                      <w:sz w:val="18"/>
                      <w:szCs w:val="18"/>
                    </w:rPr>
                    <m:t>1/4</m:t>
                  </m:r>
                  <m:ctrlPr>
                    <w:rPr>
                      <w:rFonts w:ascii="Cambria Math" w:hAnsi="Cambria Math"/>
                      <w:i/>
                      <w:color w:val="000000"/>
                      <w:sz w:val="18"/>
                      <w:szCs w:val="18"/>
                    </w:rPr>
                  </m:ctrlPr>
                </m:e>
              </m:rad>
            </m:oMath>
            <w:r>
              <w:rPr>
                <w:rFonts w:hint="eastAsia" w:hAnsi="Cambria Math"/>
                <w:color w:val="000000"/>
                <w:sz w:val="18"/>
                <w:szCs w:val="18"/>
              </w:rPr>
              <w:t xml:space="preserve">, </w:t>
            </w:r>
            <m:oMath>
              <m:rad>
                <m:radPr>
                  <m:degHide m:val="1"/>
                  <m:ctrlPr>
                    <w:rPr>
                      <w:rFonts w:ascii="Cambria Math" w:hAnsi="Cambria Math"/>
                      <w:i/>
                      <w:color w:val="000000"/>
                      <w:sz w:val="18"/>
                      <w:szCs w:val="18"/>
                    </w:rPr>
                  </m:ctrlPr>
                </m:radPr>
                <m:deg>
                  <m:ctrlPr>
                    <w:rPr>
                      <w:rFonts w:ascii="Cambria Math" w:hAnsi="Cambria Math"/>
                      <w:i/>
                      <w:color w:val="000000"/>
                      <w:sz w:val="18"/>
                      <w:szCs w:val="18"/>
                    </w:rPr>
                  </m:ctrlPr>
                </m:deg>
                <m:e>
                  <m:r>
                    <m:rPr/>
                    <w:rPr>
                      <w:rFonts w:ascii="Cambria Math" w:hAnsi="Cambria Math"/>
                      <w:color w:val="000000"/>
                      <w:sz w:val="18"/>
                      <w:szCs w:val="18"/>
                    </w:rPr>
                    <m:t>1/6</m:t>
                  </m:r>
                  <m:ctrlPr>
                    <w:rPr>
                      <w:rFonts w:ascii="Cambria Math" w:hAnsi="Cambria Math"/>
                      <w:i/>
                      <w:color w:val="000000"/>
                      <w:sz w:val="18"/>
                      <w:szCs w:val="18"/>
                    </w:rPr>
                  </m:ctrlPr>
                </m:e>
              </m:rad>
            </m:oMath>
          </w:p>
        </w:tc>
      </w:tr>
    </w:tbl>
    <w:p>
      <w:pPr>
        <w:jc w:val="center"/>
      </w:pPr>
      <w:r>
        <w:rPr>
          <w:rFonts w:hint="eastAsia"/>
          <w:b/>
          <w:bCs/>
        </w:rPr>
        <w:t>Table 4</w:t>
      </w:r>
      <w:r>
        <w:rPr>
          <w:rFonts w:hint="eastAsia"/>
        </w:rPr>
        <w:t xml:space="preserve"> SLS assumptions for the performance evaluation of inter-TRP time/frequency calibration</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8"/>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shd w:val="clear" w:color="auto" w:fill="BEBEBE" w:themeFill="background1" w:themeFillShade="BF"/>
            <w:vAlign w:val="center"/>
          </w:tcPr>
          <w:p>
            <w:pPr>
              <w:spacing w:after="0" w:line="240" w:lineRule="auto"/>
              <w:jc w:val="center"/>
            </w:pPr>
            <w:r>
              <w:rPr>
                <w:rFonts w:hint="eastAsia"/>
                <w:b/>
                <w:bCs/>
              </w:rPr>
              <w:t>Parameter</w:t>
            </w:r>
          </w:p>
        </w:tc>
        <w:tc>
          <w:tcPr>
            <w:tcW w:w="2223" w:type="dxa"/>
            <w:shd w:val="clear" w:color="auto" w:fill="BEBEBE" w:themeFill="background1" w:themeFillShade="BF"/>
            <w:vAlign w:val="center"/>
          </w:tcPr>
          <w:p>
            <w:pPr>
              <w:spacing w:after="0" w:line="240" w:lineRule="auto"/>
              <w:jc w:val="center"/>
              <w:rPr>
                <w:b/>
                <w:bCs/>
              </w:rPr>
            </w:pPr>
            <w:r>
              <w:rPr>
                <w:rFonts w:hint="eastAsia"/>
                <w:b/>
                <w:bC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vAlign w:val="center"/>
          </w:tcPr>
          <w:p>
            <w:pPr>
              <w:spacing w:after="0" w:line="240" w:lineRule="auto"/>
              <w:jc w:val="center"/>
            </w:pPr>
            <w:r>
              <w:rPr>
                <w:rFonts w:hint="eastAsia"/>
              </w:rPr>
              <w:t>Number of antenna ports</w:t>
            </w:r>
          </w:p>
        </w:tc>
        <w:tc>
          <w:tcPr>
            <w:tcW w:w="2223" w:type="dxa"/>
            <w:vAlign w:val="center"/>
          </w:tcPr>
          <w:p>
            <w:pPr>
              <w:spacing w:after="0" w:line="240" w:lineRule="auto"/>
              <w:jc w:val="center"/>
            </w:pPr>
            <w:r>
              <w:t>16T/4R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vAlign w:val="center"/>
          </w:tcPr>
          <w:p>
            <w:pPr>
              <w:spacing w:after="0" w:line="240" w:lineRule="auto"/>
              <w:jc w:val="center"/>
            </w:pPr>
            <w:r>
              <w:rPr>
                <w:rFonts w:hint="eastAsia"/>
              </w:rPr>
              <w:t>Number of TRPs</w:t>
            </w:r>
          </w:p>
        </w:tc>
        <w:tc>
          <w:tcPr>
            <w:tcW w:w="2223" w:type="dxa"/>
            <w:vAlign w:val="center"/>
          </w:tcPr>
          <w:p>
            <w:pPr>
              <w:spacing w:after="0" w:line="240" w:lineRule="auto"/>
              <w:jc w:val="center"/>
            </w:pPr>
            <w:r>
              <w:rPr>
                <w:rFonts w:hint="eastAsia"/>
              </w:rPr>
              <w:t>Up to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vAlign w:val="center"/>
          </w:tcPr>
          <w:p>
            <w:pPr>
              <w:spacing w:after="0" w:line="240" w:lineRule="auto"/>
              <w:jc w:val="center"/>
            </w:pPr>
            <w:r>
              <w:rPr>
                <w:rFonts w:hint="eastAsia"/>
              </w:rPr>
              <w:t>Carrier frequency</w:t>
            </w:r>
          </w:p>
        </w:tc>
        <w:tc>
          <w:tcPr>
            <w:tcW w:w="2223" w:type="dxa"/>
            <w:vAlign w:val="center"/>
          </w:tcPr>
          <w:p>
            <w:pPr>
              <w:spacing w:after="0" w:line="240" w:lineRule="auto"/>
              <w:jc w:val="center"/>
            </w:pPr>
            <w:r>
              <w:rPr>
                <w:rFonts w:hint="eastAsia"/>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vAlign w:val="center"/>
          </w:tcPr>
          <w:p>
            <w:pPr>
              <w:spacing w:after="0" w:line="240" w:lineRule="auto"/>
              <w:jc w:val="center"/>
            </w:pPr>
            <w:r>
              <w:rPr>
                <w:rFonts w:hint="eastAsia"/>
              </w:rPr>
              <w:t>Frequency bandwidth</w:t>
            </w:r>
          </w:p>
        </w:tc>
        <w:tc>
          <w:tcPr>
            <w:tcW w:w="2223" w:type="dxa"/>
            <w:vAlign w:val="center"/>
          </w:tcPr>
          <w:p>
            <w:pPr>
              <w:spacing w:after="0" w:line="240" w:lineRule="auto"/>
              <w:jc w:val="center"/>
            </w:pPr>
            <w:r>
              <w:t>52 RBs (10MHz)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vAlign w:val="center"/>
          </w:tcPr>
          <w:p>
            <w:pPr>
              <w:spacing w:after="0" w:line="240" w:lineRule="auto"/>
              <w:jc w:val="center"/>
            </w:pPr>
            <w:r>
              <w:t>Freq</w:t>
            </w:r>
            <w:r>
              <w:rPr>
                <w:rFonts w:hint="eastAsia"/>
              </w:rPr>
              <w:t>uency</w:t>
            </w:r>
            <w:r>
              <w:t xml:space="preserve"> sync</w:t>
            </w:r>
            <w:r>
              <w:rPr>
                <w:rFonts w:hint="eastAsia"/>
              </w:rPr>
              <w:t>hronization</w:t>
            </w:r>
            <w:r>
              <w:t xml:space="preserve"> error</w:t>
            </w:r>
          </w:p>
        </w:tc>
        <w:tc>
          <w:tcPr>
            <w:tcW w:w="2223" w:type="dxa"/>
            <w:vAlign w:val="center"/>
          </w:tcPr>
          <w:p>
            <w:pPr>
              <w:spacing w:after="0" w:line="240" w:lineRule="auto"/>
              <w:jc w:val="center"/>
            </w:pPr>
            <w:r>
              <w:t>0.01 ppm per 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vAlign w:val="center"/>
          </w:tcPr>
          <w:p>
            <w:pPr>
              <w:spacing w:after="0" w:line="240" w:lineRule="auto"/>
              <w:jc w:val="center"/>
            </w:pPr>
            <w:r>
              <w:rPr>
                <w:rFonts w:hint="eastAsia"/>
              </w:rPr>
              <w:t>Inter-site distance</w:t>
            </w:r>
          </w:p>
        </w:tc>
        <w:tc>
          <w:tcPr>
            <w:tcW w:w="2223" w:type="dxa"/>
            <w:shd w:val="clear" w:color="auto" w:fill="auto"/>
            <w:vAlign w:val="center"/>
          </w:tcPr>
          <w:p>
            <w:pPr>
              <w:spacing w:after="0" w:line="240" w:lineRule="auto"/>
              <w:jc w:val="center"/>
            </w:pPr>
            <w:r>
              <w:t>500m/800m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068" w:type="dxa"/>
            <w:vAlign w:val="center"/>
          </w:tcPr>
          <w:p>
            <w:pPr>
              <w:spacing w:after="0" w:line="240" w:lineRule="auto"/>
              <w:jc w:val="center"/>
            </w:pPr>
            <w:r>
              <w:t xml:space="preserve">CSI-RS </w:t>
            </w:r>
            <w:r>
              <w:rPr>
                <w:rFonts w:hint="eastAsia"/>
              </w:rPr>
              <w:t>p</w:t>
            </w:r>
            <w:r>
              <w:t>eriodicity</w:t>
            </w:r>
          </w:p>
        </w:tc>
        <w:tc>
          <w:tcPr>
            <w:tcW w:w="2223" w:type="dxa"/>
            <w:vAlign w:val="center"/>
          </w:tcPr>
          <w:p>
            <w:pPr>
              <w:spacing w:after="0" w:line="240" w:lineRule="auto"/>
              <w:jc w:val="center"/>
            </w:pPr>
            <w:r>
              <w:t>5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068" w:type="dxa"/>
            <w:vAlign w:val="center"/>
          </w:tcPr>
          <w:p>
            <w:pPr>
              <w:spacing w:after="0" w:line="240" w:lineRule="auto"/>
              <w:jc w:val="center"/>
            </w:pPr>
            <w:r>
              <w:t>Feedback delay</w:t>
            </w:r>
          </w:p>
        </w:tc>
        <w:tc>
          <w:tcPr>
            <w:tcW w:w="2223" w:type="dxa"/>
            <w:vAlign w:val="center"/>
          </w:tcPr>
          <w:p>
            <w:pPr>
              <w:spacing w:after="0" w:line="240" w:lineRule="auto"/>
              <w:jc w:val="center"/>
            </w:pPr>
            <w:r>
              <w:t>4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068" w:type="dxa"/>
            <w:vAlign w:val="center"/>
          </w:tcPr>
          <w:p>
            <w:pPr>
              <w:spacing w:after="0" w:line="240" w:lineRule="auto"/>
              <w:jc w:val="center"/>
            </w:pPr>
            <w:r>
              <w:t>CSI subband</w:t>
            </w:r>
          </w:p>
        </w:tc>
        <w:tc>
          <w:tcPr>
            <w:tcW w:w="2223" w:type="dxa"/>
            <w:vAlign w:val="center"/>
          </w:tcPr>
          <w:p>
            <w:pPr>
              <w:spacing w:after="0" w:line="240" w:lineRule="auto"/>
              <w:jc w:val="center"/>
            </w:pPr>
            <w:r>
              <w:t>4 RB &amp; R=2</w:t>
            </w:r>
          </w:p>
        </w:tc>
      </w:tr>
    </w:tbl>
    <w:p>
      <w:pPr>
        <w:rPr>
          <w:bCs/>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Gulim">
    <w:altName w:val="Malgun Gothic"/>
    <w:panose1 w:val="020B0600000101010101"/>
    <w:charset w:val="81"/>
    <w:family w:val="swiss"/>
    <w:pitch w:val="default"/>
    <w:sig w:usb0="00000000" w:usb1="00000000" w:usb2="00000030" w:usb3="00000000" w:csb0="0008009F" w:csb1="00000000"/>
  </w:font>
  <w:font w:name="Arial Unicode MS">
    <w:altName w:val="微软雅黑"/>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945F56"/>
    <w:multiLevelType w:val="multilevel"/>
    <w:tmpl w:val="0B945F56"/>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50D454D"/>
    <w:multiLevelType w:val="multilevel"/>
    <w:tmpl w:val="150D454D"/>
    <w:lvl w:ilvl="0" w:tentative="0">
      <w:start w:val="1"/>
      <w:numFmt w:val="bullet"/>
      <w:lvlText w:val=""/>
      <w:lvlJc w:val="left"/>
      <w:pPr>
        <w:ind w:left="360" w:hanging="360"/>
      </w:pPr>
      <w:rPr>
        <w:rFonts w:hint="default" w:ascii="Symbol" w:hAnsi="Symbol"/>
        <w:sz w:val="20"/>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1CBB7228"/>
    <w:multiLevelType w:val="multilevel"/>
    <w:tmpl w:val="1CBB72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D201993"/>
    <w:multiLevelType w:val="multilevel"/>
    <w:tmpl w:val="1D2019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3564A76"/>
    <w:multiLevelType w:val="multilevel"/>
    <w:tmpl w:val="23564A76"/>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Times New Roman" w:hAnsi="Times New Roman"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35F10D5C"/>
    <w:multiLevelType w:val="multilevel"/>
    <w:tmpl w:val="35F10D5C"/>
    <w:lvl w:ilvl="0" w:tentative="0">
      <w:start w:val="1"/>
      <w:numFmt w:val="bullet"/>
      <w:lvlText w:val=""/>
      <w:lvlJc w:val="left"/>
      <w:pPr>
        <w:ind w:left="771" w:hanging="360"/>
      </w:pPr>
      <w:rPr>
        <w:rFonts w:hint="default" w:ascii="Symbol" w:hAnsi="Symbol"/>
      </w:rPr>
    </w:lvl>
    <w:lvl w:ilvl="1" w:tentative="0">
      <w:start w:val="1"/>
      <w:numFmt w:val="bullet"/>
      <w:lvlText w:val="o"/>
      <w:lvlJc w:val="left"/>
      <w:pPr>
        <w:ind w:left="1491" w:hanging="360"/>
      </w:pPr>
      <w:rPr>
        <w:rFonts w:hint="default" w:ascii="Courier New" w:hAnsi="Courier New" w:cs="Courier New"/>
      </w:rPr>
    </w:lvl>
    <w:lvl w:ilvl="2" w:tentative="0">
      <w:start w:val="1"/>
      <w:numFmt w:val="bullet"/>
      <w:lvlText w:val=""/>
      <w:lvlJc w:val="left"/>
      <w:pPr>
        <w:ind w:left="2211" w:hanging="360"/>
      </w:pPr>
      <w:rPr>
        <w:rFonts w:hint="default" w:ascii="Wingdings" w:hAnsi="Wingdings"/>
      </w:rPr>
    </w:lvl>
    <w:lvl w:ilvl="3" w:tentative="0">
      <w:start w:val="1"/>
      <w:numFmt w:val="bullet"/>
      <w:lvlText w:val=""/>
      <w:lvlJc w:val="left"/>
      <w:pPr>
        <w:ind w:left="2931" w:hanging="360"/>
      </w:pPr>
      <w:rPr>
        <w:rFonts w:hint="default" w:ascii="Symbol" w:hAnsi="Symbol"/>
      </w:rPr>
    </w:lvl>
    <w:lvl w:ilvl="4" w:tentative="0">
      <w:start w:val="1"/>
      <w:numFmt w:val="bullet"/>
      <w:lvlText w:val="o"/>
      <w:lvlJc w:val="left"/>
      <w:pPr>
        <w:ind w:left="3651" w:hanging="360"/>
      </w:pPr>
      <w:rPr>
        <w:rFonts w:hint="default" w:ascii="Courier New" w:hAnsi="Courier New" w:cs="Courier New"/>
      </w:rPr>
    </w:lvl>
    <w:lvl w:ilvl="5" w:tentative="0">
      <w:start w:val="1"/>
      <w:numFmt w:val="bullet"/>
      <w:lvlText w:val=""/>
      <w:lvlJc w:val="left"/>
      <w:pPr>
        <w:ind w:left="4371" w:hanging="360"/>
      </w:pPr>
      <w:rPr>
        <w:rFonts w:hint="default" w:ascii="Wingdings" w:hAnsi="Wingdings"/>
      </w:rPr>
    </w:lvl>
    <w:lvl w:ilvl="6" w:tentative="0">
      <w:start w:val="1"/>
      <w:numFmt w:val="bullet"/>
      <w:lvlText w:val=""/>
      <w:lvlJc w:val="left"/>
      <w:pPr>
        <w:ind w:left="5091" w:hanging="360"/>
      </w:pPr>
      <w:rPr>
        <w:rFonts w:hint="default" w:ascii="Symbol" w:hAnsi="Symbol"/>
      </w:rPr>
    </w:lvl>
    <w:lvl w:ilvl="7" w:tentative="0">
      <w:start w:val="1"/>
      <w:numFmt w:val="bullet"/>
      <w:lvlText w:val="o"/>
      <w:lvlJc w:val="left"/>
      <w:pPr>
        <w:ind w:left="5811" w:hanging="360"/>
      </w:pPr>
      <w:rPr>
        <w:rFonts w:hint="default" w:ascii="Courier New" w:hAnsi="Courier New" w:cs="Courier New"/>
      </w:rPr>
    </w:lvl>
    <w:lvl w:ilvl="8" w:tentative="0">
      <w:start w:val="1"/>
      <w:numFmt w:val="bullet"/>
      <w:lvlText w:val=""/>
      <w:lvlJc w:val="left"/>
      <w:pPr>
        <w:ind w:left="6531" w:hanging="360"/>
      </w:pPr>
      <w:rPr>
        <w:rFonts w:hint="default" w:ascii="Wingdings" w:hAnsi="Wingdings"/>
      </w:rPr>
    </w:lvl>
  </w:abstractNum>
  <w:abstractNum w:abstractNumId="10">
    <w:nsid w:val="38A83227"/>
    <w:multiLevelType w:val="multilevel"/>
    <w:tmpl w:val="38A83227"/>
    <w:lvl w:ilvl="0" w:tentative="0">
      <w:start w:val="1"/>
      <w:numFmt w:val="bullet"/>
      <w:lvlText w:val="-"/>
      <w:lvlJc w:val="left"/>
      <w:pPr>
        <w:ind w:left="720" w:hanging="360"/>
      </w:pPr>
      <w:rPr>
        <w:rFonts w:hint="default" w:ascii="Calibri" w:hAnsi="Calibri" w:eastAsia="Malgun Gothic"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C7F035B"/>
    <w:multiLevelType w:val="multilevel"/>
    <w:tmpl w:val="3C7F035B"/>
    <w:lvl w:ilvl="0" w:tentative="0">
      <w:start w:val="1"/>
      <w:numFmt w:val="bullet"/>
      <w:lvlText w:val="–"/>
      <w:lvlJc w:val="left"/>
      <w:pPr>
        <w:ind w:left="840" w:hanging="420"/>
      </w:pPr>
      <w:rPr>
        <w:rFonts w:hint="default" w:ascii="Times New Roman" w:hAnsi="Times New Roman" w:cs="Times New Roman"/>
      </w:rPr>
    </w:lvl>
    <w:lvl w:ilvl="1" w:tentative="0">
      <w:start w:val="1"/>
      <w:numFmt w:val="bullet"/>
      <w:lvlText w:val="□"/>
      <w:lvlJc w:val="left"/>
      <w:pPr>
        <w:ind w:left="1260" w:hanging="420"/>
      </w:pPr>
      <w:rPr>
        <w:rFonts w:hint="default" w:ascii="Times New Roman" w:hAnsi="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426B4A38"/>
    <w:multiLevelType w:val="multilevel"/>
    <w:tmpl w:val="426B4A38"/>
    <w:lvl w:ilvl="0" w:tentative="0">
      <w:start w:val="1"/>
      <w:numFmt w:val="decimalZero"/>
      <w:pStyle w:val="128"/>
      <w:lvlText w:val="[00%1]"/>
      <w:lvlJc w:val="left"/>
      <w:pPr>
        <w:tabs>
          <w:tab w:val="left" w:pos="1080"/>
        </w:tabs>
        <w:ind w:left="0" w:firstLine="0"/>
      </w:pPr>
      <w:rPr>
        <w:rFonts w:hint="default"/>
        <w:b/>
        <w:i w:val="0"/>
        <w:color w:val="auto"/>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3">
    <w:nsid w:val="43096C59"/>
    <w:multiLevelType w:val="multilevel"/>
    <w:tmpl w:val="43096C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4721B91"/>
    <w:multiLevelType w:val="multilevel"/>
    <w:tmpl w:val="44721B91"/>
    <w:lvl w:ilvl="0" w:tentative="0">
      <w:start w:val="1"/>
      <w:numFmt w:val="bullet"/>
      <w:lvlText w:val="–"/>
      <w:lvlJc w:val="left"/>
      <w:pPr>
        <w:ind w:left="840" w:hanging="420"/>
      </w:pPr>
      <w:rPr>
        <w:rFonts w:hint="default" w:ascii="Times New Roman" w:hAnsi="Times New Roman" w:cs="Times New Roman"/>
      </w:rPr>
    </w:lvl>
    <w:lvl w:ilvl="1" w:tentative="0">
      <w:start w:val="1"/>
      <w:numFmt w:val="bullet"/>
      <w:lvlText w:val="□"/>
      <w:lvlJc w:val="left"/>
      <w:pPr>
        <w:ind w:left="1260" w:hanging="420"/>
      </w:pPr>
      <w:rPr>
        <w:rFonts w:hint="default" w:ascii="Times New Roman" w:hAnsi="Times New Roman" w:cs="Times New Roman"/>
      </w:rPr>
    </w:lvl>
    <w:lvl w:ilvl="2" w:tentative="0">
      <w:start w:val="1"/>
      <w:numFmt w:val="bullet"/>
      <w:lvlText w:val="o"/>
      <w:lvlJc w:val="left"/>
      <w:pPr>
        <w:ind w:left="1680" w:hanging="420"/>
      </w:pPr>
      <w:rPr>
        <w:rFonts w:hint="default" w:ascii="Courier New" w:hAnsi="Courier New" w:cs="Courier New"/>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4A55685D"/>
    <w:multiLevelType w:val="singleLevel"/>
    <w:tmpl w:val="4A55685D"/>
    <w:lvl w:ilvl="0" w:tentative="0">
      <w:start w:val="1"/>
      <w:numFmt w:val="bullet"/>
      <w:pStyle w:val="123"/>
      <w:lvlText w:val=""/>
      <w:lvlJc w:val="left"/>
      <w:pPr>
        <w:tabs>
          <w:tab w:val="left" w:pos="992"/>
        </w:tabs>
        <w:ind w:left="992" w:hanging="425"/>
      </w:pPr>
      <w:rPr>
        <w:rFonts w:hint="default" w:ascii="Symbol" w:hAnsi="Symbol"/>
      </w:rPr>
    </w:lvl>
  </w:abstractNum>
  <w:abstractNum w:abstractNumId="17">
    <w:nsid w:val="4BF074BB"/>
    <w:multiLevelType w:val="multilevel"/>
    <w:tmpl w:val="4BF074BB"/>
    <w:lvl w:ilvl="0" w:tentative="0">
      <w:start w:val="0"/>
      <w:numFmt w:val="bullet"/>
      <w:lvlText w:val="-"/>
      <w:lvlJc w:val="left"/>
      <w:pPr>
        <w:ind w:left="720" w:hanging="360"/>
      </w:pPr>
      <w:rPr>
        <w:rFonts w:hint="default" w:ascii="Times New Roman" w:hAnsi="Times New Roman" w:eastAsia="Malgun Gothic" w:cs="Times New Roman"/>
        <w:b w:val="0"/>
      </w:rPr>
    </w:lvl>
    <w:lvl w:ilvl="1" w:tentative="0">
      <w:start w:val="1"/>
      <w:numFmt w:val="bullet"/>
      <w:lvlText w:val="•"/>
      <w:lvlJc w:val="left"/>
      <w:pPr>
        <w:ind w:left="1520" w:hanging="440"/>
      </w:pPr>
      <w:rPr>
        <w:rFonts w:hint="default" w:ascii="Arial" w:hAnsi="Aria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C07357E"/>
    <w:multiLevelType w:val="multilevel"/>
    <w:tmpl w:val="5C07357E"/>
    <w:lvl w:ilvl="0" w:tentative="0">
      <w:start w:val="1"/>
      <w:numFmt w:val="bullet"/>
      <w:lvlText w:val=""/>
      <w:lvlJc w:val="left"/>
      <w:pPr>
        <w:ind w:left="775" w:hanging="360"/>
      </w:pPr>
      <w:rPr>
        <w:rFonts w:hint="default" w:ascii="Symbol" w:hAnsi="Symbol"/>
      </w:rPr>
    </w:lvl>
    <w:lvl w:ilvl="1" w:tentative="0">
      <w:start w:val="1"/>
      <w:numFmt w:val="bullet"/>
      <w:lvlText w:val="o"/>
      <w:lvlJc w:val="left"/>
      <w:pPr>
        <w:ind w:left="1495" w:hanging="360"/>
      </w:pPr>
      <w:rPr>
        <w:rFonts w:hint="default" w:ascii="Courier New" w:hAnsi="Courier New" w:cs="Courier New"/>
      </w:rPr>
    </w:lvl>
    <w:lvl w:ilvl="2" w:tentative="0">
      <w:start w:val="1"/>
      <w:numFmt w:val="bullet"/>
      <w:lvlText w:val=""/>
      <w:lvlJc w:val="left"/>
      <w:pPr>
        <w:ind w:left="2215" w:hanging="360"/>
      </w:pPr>
      <w:rPr>
        <w:rFonts w:hint="default" w:ascii="Wingdings" w:hAnsi="Wingdings"/>
      </w:rPr>
    </w:lvl>
    <w:lvl w:ilvl="3" w:tentative="0">
      <w:start w:val="1"/>
      <w:numFmt w:val="bullet"/>
      <w:lvlText w:val=""/>
      <w:lvlJc w:val="left"/>
      <w:pPr>
        <w:ind w:left="2935" w:hanging="360"/>
      </w:pPr>
      <w:rPr>
        <w:rFonts w:hint="default" w:ascii="Symbol" w:hAnsi="Symbol"/>
      </w:rPr>
    </w:lvl>
    <w:lvl w:ilvl="4" w:tentative="0">
      <w:start w:val="1"/>
      <w:numFmt w:val="bullet"/>
      <w:lvlText w:val="o"/>
      <w:lvlJc w:val="left"/>
      <w:pPr>
        <w:ind w:left="3655" w:hanging="360"/>
      </w:pPr>
      <w:rPr>
        <w:rFonts w:hint="default" w:ascii="Courier New" w:hAnsi="Courier New" w:cs="Courier New"/>
      </w:rPr>
    </w:lvl>
    <w:lvl w:ilvl="5" w:tentative="0">
      <w:start w:val="1"/>
      <w:numFmt w:val="bullet"/>
      <w:lvlText w:val=""/>
      <w:lvlJc w:val="left"/>
      <w:pPr>
        <w:ind w:left="4375" w:hanging="360"/>
      </w:pPr>
      <w:rPr>
        <w:rFonts w:hint="default" w:ascii="Wingdings" w:hAnsi="Wingdings"/>
      </w:rPr>
    </w:lvl>
    <w:lvl w:ilvl="6" w:tentative="0">
      <w:start w:val="1"/>
      <w:numFmt w:val="bullet"/>
      <w:lvlText w:val=""/>
      <w:lvlJc w:val="left"/>
      <w:pPr>
        <w:ind w:left="5095" w:hanging="360"/>
      </w:pPr>
      <w:rPr>
        <w:rFonts w:hint="default" w:ascii="Symbol" w:hAnsi="Symbol"/>
      </w:rPr>
    </w:lvl>
    <w:lvl w:ilvl="7" w:tentative="0">
      <w:start w:val="1"/>
      <w:numFmt w:val="bullet"/>
      <w:lvlText w:val="o"/>
      <w:lvlJc w:val="left"/>
      <w:pPr>
        <w:ind w:left="5815" w:hanging="360"/>
      </w:pPr>
      <w:rPr>
        <w:rFonts w:hint="default" w:ascii="Courier New" w:hAnsi="Courier New" w:cs="Courier New"/>
      </w:rPr>
    </w:lvl>
    <w:lvl w:ilvl="8" w:tentative="0">
      <w:start w:val="1"/>
      <w:numFmt w:val="bullet"/>
      <w:lvlText w:val=""/>
      <w:lvlJc w:val="left"/>
      <w:pPr>
        <w:ind w:left="6535" w:hanging="360"/>
      </w:pPr>
      <w:rPr>
        <w:rFonts w:hint="default" w:ascii="Wingdings" w:hAnsi="Wingdings"/>
      </w:rPr>
    </w:lvl>
  </w:abstractNum>
  <w:abstractNum w:abstractNumId="19">
    <w:nsid w:val="5E93823A"/>
    <w:multiLevelType w:val="singleLevel"/>
    <w:tmpl w:val="5E93823A"/>
    <w:lvl w:ilvl="0" w:tentative="0">
      <w:start w:val="1"/>
      <w:numFmt w:val="decimal"/>
      <w:suff w:val="space"/>
      <w:lvlText w:val="[%1]"/>
      <w:lvlJc w:val="left"/>
    </w:lvl>
  </w:abstractNum>
  <w:abstractNum w:abstractNumId="20">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6114DD6"/>
    <w:multiLevelType w:val="multilevel"/>
    <w:tmpl w:val="76114D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7C7A194D"/>
    <w:multiLevelType w:val="multilevel"/>
    <w:tmpl w:val="7C7A194D"/>
    <w:lvl w:ilvl="0" w:tentative="0">
      <w:start w:val="1"/>
      <w:numFmt w:val="bullet"/>
      <w:lvlText w:val=""/>
      <w:lvlJc w:val="left"/>
      <w:pPr>
        <w:ind w:left="720" w:hanging="360"/>
      </w:pPr>
      <w:rPr>
        <w:rFonts w:hint="default" w:ascii="Symbol" w:hAnsi="Symbol"/>
        <w:lang w:val="en-GB"/>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2"/>
  </w:num>
  <w:num w:numId="4">
    <w:abstractNumId w:val="2"/>
  </w:num>
  <w:num w:numId="5">
    <w:abstractNumId w:val="20"/>
  </w:num>
  <w:num w:numId="6">
    <w:abstractNumId w:val="16"/>
  </w:num>
  <w:num w:numId="7">
    <w:abstractNumId w:val="12"/>
  </w:num>
  <w:num w:numId="8">
    <w:abstractNumId w:val="8"/>
  </w:num>
  <w:num w:numId="9">
    <w:abstractNumId w:val="23"/>
  </w:num>
  <w:num w:numId="10">
    <w:abstractNumId w:val="21"/>
  </w:num>
  <w:num w:numId="11">
    <w:abstractNumId w:val="9"/>
  </w:num>
  <w:num w:numId="12">
    <w:abstractNumId w:val="3"/>
  </w:num>
  <w:num w:numId="13">
    <w:abstractNumId w:val="14"/>
  </w:num>
  <w:num w:numId="14">
    <w:abstractNumId w:val="24"/>
  </w:num>
  <w:num w:numId="15">
    <w:abstractNumId w:val="6"/>
  </w:num>
  <w:num w:numId="16">
    <w:abstractNumId w:val="4"/>
  </w:num>
  <w:num w:numId="17">
    <w:abstractNumId w:val="17"/>
  </w:num>
  <w:num w:numId="18">
    <w:abstractNumId w:val="13"/>
  </w:num>
  <w:num w:numId="19">
    <w:abstractNumId w:val="15"/>
  </w:num>
  <w:num w:numId="20">
    <w:abstractNumId w:val="5"/>
  </w:num>
  <w:num w:numId="21">
    <w:abstractNumId w:val="18"/>
  </w:num>
  <w:num w:numId="22">
    <w:abstractNumId w:val="7"/>
  </w:num>
  <w:num w:numId="23">
    <w:abstractNumId w:val="10"/>
  </w:num>
  <w:num w:numId="24">
    <w:abstractNumId w:val="1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doNotDisplayPageBoundaries w:val="1"/>
  <w:trackRevisions w:val="1"/>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7CA"/>
    <w:rsid w:val="00002C54"/>
    <w:rsid w:val="00002EA0"/>
    <w:rsid w:val="0000349F"/>
    <w:rsid w:val="000038B7"/>
    <w:rsid w:val="00003A61"/>
    <w:rsid w:val="000044E2"/>
    <w:rsid w:val="00004558"/>
    <w:rsid w:val="000049A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222D"/>
    <w:rsid w:val="00032289"/>
    <w:rsid w:val="000322B0"/>
    <w:rsid w:val="000326FB"/>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A71"/>
    <w:rsid w:val="00036055"/>
    <w:rsid w:val="00036250"/>
    <w:rsid w:val="00036F37"/>
    <w:rsid w:val="00037260"/>
    <w:rsid w:val="0003750E"/>
    <w:rsid w:val="00037AF2"/>
    <w:rsid w:val="00037F58"/>
    <w:rsid w:val="00037F59"/>
    <w:rsid w:val="000402A0"/>
    <w:rsid w:val="00040F8B"/>
    <w:rsid w:val="0004122E"/>
    <w:rsid w:val="000412E1"/>
    <w:rsid w:val="00041506"/>
    <w:rsid w:val="000415BF"/>
    <w:rsid w:val="00041C2C"/>
    <w:rsid w:val="00041CAB"/>
    <w:rsid w:val="00041CBB"/>
    <w:rsid w:val="00041E63"/>
    <w:rsid w:val="00041F46"/>
    <w:rsid w:val="00042295"/>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F04"/>
    <w:rsid w:val="00050FC3"/>
    <w:rsid w:val="0005112E"/>
    <w:rsid w:val="0005129A"/>
    <w:rsid w:val="000518D2"/>
    <w:rsid w:val="000519B5"/>
    <w:rsid w:val="00051A81"/>
    <w:rsid w:val="00051CF3"/>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8CF"/>
    <w:rsid w:val="00061D38"/>
    <w:rsid w:val="0006201D"/>
    <w:rsid w:val="000624B4"/>
    <w:rsid w:val="000627C2"/>
    <w:rsid w:val="00062AF2"/>
    <w:rsid w:val="00062C89"/>
    <w:rsid w:val="00062D55"/>
    <w:rsid w:val="00062DBD"/>
    <w:rsid w:val="00062DBF"/>
    <w:rsid w:val="00062F51"/>
    <w:rsid w:val="0006302F"/>
    <w:rsid w:val="000631EB"/>
    <w:rsid w:val="0006340C"/>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B6"/>
    <w:rsid w:val="00080DAA"/>
    <w:rsid w:val="0008126C"/>
    <w:rsid w:val="000816E9"/>
    <w:rsid w:val="000819A5"/>
    <w:rsid w:val="00081CE4"/>
    <w:rsid w:val="00081D69"/>
    <w:rsid w:val="00082030"/>
    <w:rsid w:val="000822F4"/>
    <w:rsid w:val="00082D34"/>
    <w:rsid w:val="00082E47"/>
    <w:rsid w:val="00082E4E"/>
    <w:rsid w:val="000834E5"/>
    <w:rsid w:val="00083875"/>
    <w:rsid w:val="000838D2"/>
    <w:rsid w:val="000848BD"/>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955"/>
    <w:rsid w:val="0009551E"/>
    <w:rsid w:val="000955A4"/>
    <w:rsid w:val="00095C93"/>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A0282"/>
    <w:rsid w:val="000A030E"/>
    <w:rsid w:val="000A06DC"/>
    <w:rsid w:val="000A0B41"/>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3027"/>
    <w:rsid w:val="000C33BB"/>
    <w:rsid w:val="000C3539"/>
    <w:rsid w:val="000C395E"/>
    <w:rsid w:val="000C3BDA"/>
    <w:rsid w:val="000C4240"/>
    <w:rsid w:val="000C429A"/>
    <w:rsid w:val="000C45FE"/>
    <w:rsid w:val="000C4972"/>
    <w:rsid w:val="000C4ECD"/>
    <w:rsid w:val="000C5442"/>
    <w:rsid w:val="000C577F"/>
    <w:rsid w:val="000C5E7D"/>
    <w:rsid w:val="000C62FC"/>
    <w:rsid w:val="000C64C0"/>
    <w:rsid w:val="000C6632"/>
    <w:rsid w:val="000C6C88"/>
    <w:rsid w:val="000C735C"/>
    <w:rsid w:val="000C7443"/>
    <w:rsid w:val="000C7512"/>
    <w:rsid w:val="000C7BB1"/>
    <w:rsid w:val="000C7D1C"/>
    <w:rsid w:val="000C7FB7"/>
    <w:rsid w:val="000D05EC"/>
    <w:rsid w:val="000D09B9"/>
    <w:rsid w:val="000D0C3A"/>
    <w:rsid w:val="000D152D"/>
    <w:rsid w:val="000D163C"/>
    <w:rsid w:val="000D19B9"/>
    <w:rsid w:val="000D1A03"/>
    <w:rsid w:val="000D1AB9"/>
    <w:rsid w:val="000D1B0E"/>
    <w:rsid w:val="000D1BD9"/>
    <w:rsid w:val="000D2665"/>
    <w:rsid w:val="000D2AF0"/>
    <w:rsid w:val="000D2C0B"/>
    <w:rsid w:val="000D33FF"/>
    <w:rsid w:val="000D3518"/>
    <w:rsid w:val="000D359F"/>
    <w:rsid w:val="000D390D"/>
    <w:rsid w:val="000D3C7C"/>
    <w:rsid w:val="000D3D1E"/>
    <w:rsid w:val="000D3F3F"/>
    <w:rsid w:val="000D463D"/>
    <w:rsid w:val="000D4C91"/>
    <w:rsid w:val="000D4ECB"/>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003"/>
    <w:rsid w:val="000F3136"/>
    <w:rsid w:val="000F374D"/>
    <w:rsid w:val="000F3AB4"/>
    <w:rsid w:val="000F3FB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6C91"/>
    <w:rsid w:val="00107894"/>
    <w:rsid w:val="00107BF2"/>
    <w:rsid w:val="00107D9C"/>
    <w:rsid w:val="00110751"/>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A8"/>
    <w:rsid w:val="00115268"/>
    <w:rsid w:val="001154E0"/>
    <w:rsid w:val="00115516"/>
    <w:rsid w:val="001157F5"/>
    <w:rsid w:val="0011584B"/>
    <w:rsid w:val="0011660A"/>
    <w:rsid w:val="001166D4"/>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E18"/>
    <w:rsid w:val="00130FE5"/>
    <w:rsid w:val="001315A9"/>
    <w:rsid w:val="001317A7"/>
    <w:rsid w:val="00131A50"/>
    <w:rsid w:val="001321B3"/>
    <w:rsid w:val="00132346"/>
    <w:rsid w:val="00132581"/>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66C"/>
    <w:rsid w:val="001377C2"/>
    <w:rsid w:val="00137C47"/>
    <w:rsid w:val="00137C6E"/>
    <w:rsid w:val="001404E2"/>
    <w:rsid w:val="001405C3"/>
    <w:rsid w:val="00140803"/>
    <w:rsid w:val="00140944"/>
    <w:rsid w:val="00140A5E"/>
    <w:rsid w:val="00140E7D"/>
    <w:rsid w:val="00140FDF"/>
    <w:rsid w:val="00141114"/>
    <w:rsid w:val="0014122F"/>
    <w:rsid w:val="001413F3"/>
    <w:rsid w:val="001417C1"/>
    <w:rsid w:val="0014195F"/>
    <w:rsid w:val="001419D4"/>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32"/>
    <w:rsid w:val="00173AF4"/>
    <w:rsid w:val="00173DF5"/>
    <w:rsid w:val="0017400C"/>
    <w:rsid w:val="001740D8"/>
    <w:rsid w:val="0017436A"/>
    <w:rsid w:val="001744B9"/>
    <w:rsid w:val="001746CD"/>
    <w:rsid w:val="00174711"/>
    <w:rsid w:val="00174885"/>
    <w:rsid w:val="00174C3B"/>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47D"/>
    <w:rsid w:val="001E14E7"/>
    <w:rsid w:val="001E16BA"/>
    <w:rsid w:val="001E16D4"/>
    <w:rsid w:val="001E1705"/>
    <w:rsid w:val="001E1760"/>
    <w:rsid w:val="001E1A77"/>
    <w:rsid w:val="001E2717"/>
    <w:rsid w:val="001E2890"/>
    <w:rsid w:val="001E2A05"/>
    <w:rsid w:val="001E2AD1"/>
    <w:rsid w:val="001E2B19"/>
    <w:rsid w:val="001E2C50"/>
    <w:rsid w:val="001E2CBC"/>
    <w:rsid w:val="001E308B"/>
    <w:rsid w:val="001E327B"/>
    <w:rsid w:val="001E351E"/>
    <w:rsid w:val="001E35C2"/>
    <w:rsid w:val="001E38F2"/>
    <w:rsid w:val="001E3CEF"/>
    <w:rsid w:val="001E3D04"/>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A2"/>
    <w:rsid w:val="001F6824"/>
    <w:rsid w:val="001F68B1"/>
    <w:rsid w:val="001F6A82"/>
    <w:rsid w:val="001F6F9E"/>
    <w:rsid w:val="001F73FA"/>
    <w:rsid w:val="001F7499"/>
    <w:rsid w:val="001F754F"/>
    <w:rsid w:val="001F7ED6"/>
    <w:rsid w:val="00200044"/>
    <w:rsid w:val="00200425"/>
    <w:rsid w:val="0020059A"/>
    <w:rsid w:val="002007F6"/>
    <w:rsid w:val="002008F3"/>
    <w:rsid w:val="00200E3F"/>
    <w:rsid w:val="0020130A"/>
    <w:rsid w:val="00201595"/>
    <w:rsid w:val="002016F0"/>
    <w:rsid w:val="00201915"/>
    <w:rsid w:val="00201AF1"/>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F1A"/>
    <w:rsid w:val="0022100B"/>
    <w:rsid w:val="002215D5"/>
    <w:rsid w:val="00221997"/>
    <w:rsid w:val="00221B5C"/>
    <w:rsid w:val="00221B7B"/>
    <w:rsid w:val="002221B8"/>
    <w:rsid w:val="0022238A"/>
    <w:rsid w:val="002224E9"/>
    <w:rsid w:val="00222BF6"/>
    <w:rsid w:val="00222DC3"/>
    <w:rsid w:val="00222E31"/>
    <w:rsid w:val="00223157"/>
    <w:rsid w:val="00223F67"/>
    <w:rsid w:val="00224252"/>
    <w:rsid w:val="002245BF"/>
    <w:rsid w:val="002247A3"/>
    <w:rsid w:val="0022480F"/>
    <w:rsid w:val="0022511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533"/>
    <w:rsid w:val="002373FD"/>
    <w:rsid w:val="00240285"/>
    <w:rsid w:val="0024092D"/>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303"/>
    <w:rsid w:val="002444AE"/>
    <w:rsid w:val="0024457F"/>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7277"/>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69E"/>
    <w:rsid w:val="00262DC8"/>
    <w:rsid w:val="00262E2C"/>
    <w:rsid w:val="00262E2D"/>
    <w:rsid w:val="00262F79"/>
    <w:rsid w:val="00263147"/>
    <w:rsid w:val="0026315D"/>
    <w:rsid w:val="00263355"/>
    <w:rsid w:val="0026373E"/>
    <w:rsid w:val="00263C4D"/>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EB4"/>
    <w:rsid w:val="002A1162"/>
    <w:rsid w:val="002A1182"/>
    <w:rsid w:val="002A14AE"/>
    <w:rsid w:val="002A18DD"/>
    <w:rsid w:val="002A19BE"/>
    <w:rsid w:val="002A1A1B"/>
    <w:rsid w:val="002A21F8"/>
    <w:rsid w:val="002A2751"/>
    <w:rsid w:val="002A2D4E"/>
    <w:rsid w:val="002A2FAC"/>
    <w:rsid w:val="002A300C"/>
    <w:rsid w:val="002A3527"/>
    <w:rsid w:val="002A3B0B"/>
    <w:rsid w:val="002A3CD9"/>
    <w:rsid w:val="002A425C"/>
    <w:rsid w:val="002A43F3"/>
    <w:rsid w:val="002A44C0"/>
    <w:rsid w:val="002A46EE"/>
    <w:rsid w:val="002A479E"/>
    <w:rsid w:val="002A498D"/>
    <w:rsid w:val="002A4993"/>
    <w:rsid w:val="002A51ED"/>
    <w:rsid w:val="002A5889"/>
    <w:rsid w:val="002A589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5C88"/>
    <w:rsid w:val="002C6077"/>
    <w:rsid w:val="002C6903"/>
    <w:rsid w:val="002C6B21"/>
    <w:rsid w:val="002C705C"/>
    <w:rsid w:val="002C70E1"/>
    <w:rsid w:val="002C72DE"/>
    <w:rsid w:val="002C760C"/>
    <w:rsid w:val="002C7728"/>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A2"/>
    <w:rsid w:val="002E4DA4"/>
    <w:rsid w:val="002E4FDA"/>
    <w:rsid w:val="002E5204"/>
    <w:rsid w:val="002E52DC"/>
    <w:rsid w:val="002E53EF"/>
    <w:rsid w:val="002E547F"/>
    <w:rsid w:val="002E55FA"/>
    <w:rsid w:val="002E5CF5"/>
    <w:rsid w:val="002E62E1"/>
    <w:rsid w:val="002E7018"/>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51"/>
    <w:rsid w:val="00304EFD"/>
    <w:rsid w:val="0030522A"/>
    <w:rsid w:val="003053A2"/>
    <w:rsid w:val="00305493"/>
    <w:rsid w:val="0030574F"/>
    <w:rsid w:val="00305FE1"/>
    <w:rsid w:val="00306202"/>
    <w:rsid w:val="0030634C"/>
    <w:rsid w:val="003067AB"/>
    <w:rsid w:val="00306EC3"/>
    <w:rsid w:val="00307052"/>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F0D"/>
    <w:rsid w:val="003140E3"/>
    <w:rsid w:val="003141D5"/>
    <w:rsid w:val="0031454E"/>
    <w:rsid w:val="003147A0"/>
    <w:rsid w:val="003148FD"/>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F6"/>
    <w:rsid w:val="00321047"/>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480"/>
    <w:rsid w:val="003644EB"/>
    <w:rsid w:val="00364B78"/>
    <w:rsid w:val="00364C93"/>
    <w:rsid w:val="00364D06"/>
    <w:rsid w:val="003652B2"/>
    <w:rsid w:val="00365414"/>
    <w:rsid w:val="0036615F"/>
    <w:rsid w:val="00366816"/>
    <w:rsid w:val="00366AF5"/>
    <w:rsid w:val="00366D19"/>
    <w:rsid w:val="00367107"/>
    <w:rsid w:val="00367109"/>
    <w:rsid w:val="00367765"/>
    <w:rsid w:val="0036794F"/>
    <w:rsid w:val="00367FCB"/>
    <w:rsid w:val="00370265"/>
    <w:rsid w:val="00370388"/>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7A7"/>
    <w:rsid w:val="003737BE"/>
    <w:rsid w:val="00373A2F"/>
    <w:rsid w:val="00373A77"/>
    <w:rsid w:val="00373B49"/>
    <w:rsid w:val="00373D71"/>
    <w:rsid w:val="00374393"/>
    <w:rsid w:val="00374835"/>
    <w:rsid w:val="00374DD5"/>
    <w:rsid w:val="003750B2"/>
    <w:rsid w:val="00375156"/>
    <w:rsid w:val="00375349"/>
    <w:rsid w:val="003753B0"/>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1CE"/>
    <w:rsid w:val="0039030E"/>
    <w:rsid w:val="00390755"/>
    <w:rsid w:val="00390C25"/>
    <w:rsid w:val="003910E9"/>
    <w:rsid w:val="00391403"/>
    <w:rsid w:val="0039181D"/>
    <w:rsid w:val="00391FD5"/>
    <w:rsid w:val="0039207D"/>
    <w:rsid w:val="00392626"/>
    <w:rsid w:val="0039269B"/>
    <w:rsid w:val="0039281A"/>
    <w:rsid w:val="00392A93"/>
    <w:rsid w:val="00392AD4"/>
    <w:rsid w:val="00393560"/>
    <w:rsid w:val="00393A89"/>
    <w:rsid w:val="00393ADA"/>
    <w:rsid w:val="00394112"/>
    <w:rsid w:val="003941C3"/>
    <w:rsid w:val="00394630"/>
    <w:rsid w:val="00394B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C13"/>
    <w:rsid w:val="003B0C32"/>
    <w:rsid w:val="003B0C8C"/>
    <w:rsid w:val="003B1080"/>
    <w:rsid w:val="003B1321"/>
    <w:rsid w:val="003B141D"/>
    <w:rsid w:val="003B16B1"/>
    <w:rsid w:val="003B195B"/>
    <w:rsid w:val="003B1DCD"/>
    <w:rsid w:val="003B1DF4"/>
    <w:rsid w:val="003B1E6E"/>
    <w:rsid w:val="003B2327"/>
    <w:rsid w:val="003B246A"/>
    <w:rsid w:val="003B25C7"/>
    <w:rsid w:val="003B2854"/>
    <w:rsid w:val="003B2993"/>
    <w:rsid w:val="003B2A3B"/>
    <w:rsid w:val="003B2A50"/>
    <w:rsid w:val="003B2C7F"/>
    <w:rsid w:val="003B30C0"/>
    <w:rsid w:val="003B34C1"/>
    <w:rsid w:val="003B3E39"/>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70B"/>
    <w:rsid w:val="003D29A5"/>
    <w:rsid w:val="003D2AE0"/>
    <w:rsid w:val="003D336B"/>
    <w:rsid w:val="003D3543"/>
    <w:rsid w:val="003D3650"/>
    <w:rsid w:val="003D368D"/>
    <w:rsid w:val="003D3882"/>
    <w:rsid w:val="003D3A82"/>
    <w:rsid w:val="003D3CAB"/>
    <w:rsid w:val="003D413A"/>
    <w:rsid w:val="003D428C"/>
    <w:rsid w:val="003D43CB"/>
    <w:rsid w:val="003D46A0"/>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B6"/>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AE3"/>
    <w:rsid w:val="003E3B16"/>
    <w:rsid w:val="003E3C0F"/>
    <w:rsid w:val="003E3CE1"/>
    <w:rsid w:val="003E3E5C"/>
    <w:rsid w:val="003E3F0A"/>
    <w:rsid w:val="003E4189"/>
    <w:rsid w:val="003E423A"/>
    <w:rsid w:val="003E43D1"/>
    <w:rsid w:val="003E451F"/>
    <w:rsid w:val="003E490B"/>
    <w:rsid w:val="003E4D54"/>
    <w:rsid w:val="003E4D9F"/>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834"/>
    <w:rsid w:val="003F5923"/>
    <w:rsid w:val="003F5CCA"/>
    <w:rsid w:val="003F5DC5"/>
    <w:rsid w:val="003F62B4"/>
    <w:rsid w:val="003F65C7"/>
    <w:rsid w:val="003F6D5F"/>
    <w:rsid w:val="003F6E05"/>
    <w:rsid w:val="003F6F8E"/>
    <w:rsid w:val="003F7213"/>
    <w:rsid w:val="003F73AE"/>
    <w:rsid w:val="003F77C9"/>
    <w:rsid w:val="003F77F7"/>
    <w:rsid w:val="003F7860"/>
    <w:rsid w:val="003F7883"/>
    <w:rsid w:val="003F7AB8"/>
    <w:rsid w:val="0040038A"/>
    <w:rsid w:val="004005F4"/>
    <w:rsid w:val="00400A89"/>
    <w:rsid w:val="00400B91"/>
    <w:rsid w:val="00400F2D"/>
    <w:rsid w:val="004014EC"/>
    <w:rsid w:val="004014F7"/>
    <w:rsid w:val="00401A20"/>
    <w:rsid w:val="00401B1F"/>
    <w:rsid w:val="00401DA9"/>
    <w:rsid w:val="00401F09"/>
    <w:rsid w:val="004021C4"/>
    <w:rsid w:val="00402BF6"/>
    <w:rsid w:val="00402D92"/>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15E6"/>
    <w:rsid w:val="004116B5"/>
    <w:rsid w:val="0041183D"/>
    <w:rsid w:val="00411C50"/>
    <w:rsid w:val="0041238A"/>
    <w:rsid w:val="00412562"/>
    <w:rsid w:val="004125F7"/>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59A"/>
    <w:rsid w:val="004215C3"/>
    <w:rsid w:val="004217F3"/>
    <w:rsid w:val="00421D06"/>
    <w:rsid w:val="00422685"/>
    <w:rsid w:val="004226D5"/>
    <w:rsid w:val="0042283B"/>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43B"/>
    <w:rsid w:val="00430736"/>
    <w:rsid w:val="00430862"/>
    <w:rsid w:val="00430C47"/>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6FB"/>
    <w:rsid w:val="00433909"/>
    <w:rsid w:val="004339AF"/>
    <w:rsid w:val="00433E31"/>
    <w:rsid w:val="00433FCC"/>
    <w:rsid w:val="004340EB"/>
    <w:rsid w:val="00434280"/>
    <w:rsid w:val="00434701"/>
    <w:rsid w:val="00434B8E"/>
    <w:rsid w:val="00434E8D"/>
    <w:rsid w:val="00434F41"/>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5AF"/>
    <w:rsid w:val="0045173D"/>
    <w:rsid w:val="00451A00"/>
    <w:rsid w:val="00451ABF"/>
    <w:rsid w:val="00451CC5"/>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940"/>
    <w:rsid w:val="00462AF9"/>
    <w:rsid w:val="00462C92"/>
    <w:rsid w:val="00462D0F"/>
    <w:rsid w:val="004631AC"/>
    <w:rsid w:val="0046331A"/>
    <w:rsid w:val="00464085"/>
    <w:rsid w:val="004644CA"/>
    <w:rsid w:val="004648B7"/>
    <w:rsid w:val="004657D7"/>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F19"/>
    <w:rsid w:val="00476248"/>
    <w:rsid w:val="004763FA"/>
    <w:rsid w:val="004764C0"/>
    <w:rsid w:val="00476785"/>
    <w:rsid w:val="0047696F"/>
    <w:rsid w:val="004769A8"/>
    <w:rsid w:val="00476B19"/>
    <w:rsid w:val="00476B82"/>
    <w:rsid w:val="00476ECD"/>
    <w:rsid w:val="004771E3"/>
    <w:rsid w:val="004773C1"/>
    <w:rsid w:val="00477645"/>
    <w:rsid w:val="00477735"/>
    <w:rsid w:val="00477EE0"/>
    <w:rsid w:val="0048016F"/>
    <w:rsid w:val="004802DD"/>
    <w:rsid w:val="00480371"/>
    <w:rsid w:val="00480560"/>
    <w:rsid w:val="00480A2C"/>
    <w:rsid w:val="00480A64"/>
    <w:rsid w:val="00480F52"/>
    <w:rsid w:val="0048128D"/>
    <w:rsid w:val="0048140B"/>
    <w:rsid w:val="00481AC0"/>
    <w:rsid w:val="00481B60"/>
    <w:rsid w:val="004821C6"/>
    <w:rsid w:val="00482303"/>
    <w:rsid w:val="00482957"/>
    <w:rsid w:val="00482A98"/>
    <w:rsid w:val="00482CD9"/>
    <w:rsid w:val="004837D0"/>
    <w:rsid w:val="00483889"/>
    <w:rsid w:val="00483D35"/>
    <w:rsid w:val="004840F2"/>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B6A"/>
    <w:rsid w:val="00497E11"/>
    <w:rsid w:val="00497FED"/>
    <w:rsid w:val="004A009F"/>
    <w:rsid w:val="004A041C"/>
    <w:rsid w:val="004A071D"/>
    <w:rsid w:val="004A0763"/>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AF8"/>
    <w:rsid w:val="004A4BEE"/>
    <w:rsid w:val="004A4D62"/>
    <w:rsid w:val="004A4F1B"/>
    <w:rsid w:val="004A4F88"/>
    <w:rsid w:val="004A526D"/>
    <w:rsid w:val="004A58E1"/>
    <w:rsid w:val="004A5FBF"/>
    <w:rsid w:val="004A63E4"/>
    <w:rsid w:val="004A63EC"/>
    <w:rsid w:val="004A6661"/>
    <w:rsid w:val="004A6737"/>
    <w:rsid w:val="004A6947"/>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D26"/>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5004B8"/>
    <w:rsid w:val="0050068C"/>
    <w:rsid w:val="005009BE"/>
    <w:rsid w:val="00500F70"/>
    <w:rsid w:val="00501470"/>
    <w:rsid w:val="005016A4"/>
    <w:rsid w:val="0050204D"/>
    <w:rsid w:val="0050233D"/>
    <w:rsid w:val="0050243B"/>
    <w:rsid w:val="00502663"/>
    <w:rsid w:val="00502829"/>
    <w:rsid w:val="00502CEF"/>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DA"/>
    <w:rsid w:val="0051047F"/>
    <w:rsid w:val="005106F4"/>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89"/>
    <w:rsid w:val="005331D1"/>
    <w:rsid w:val="005333A4"/>
    <w:rsid w:val="00533EB1"/>
    <w:rsid w:val="0053420F"/>
    <w:rsid w:val="005342F6"/>
    <w:rsid w:val="005342FD"/>
    <w:rsid w:val="005344A6"/>
    <w:rsid w:val="005344CE"/>
    <w:rsid w:val="00534502"/>
    <w:rsid w:val="005349D3"/>
    <w:rsid w:val="00534B5E"/>
    <w:rsid w:val="00534DAA"/>
    <w:rsid w:val="00535431"/>
    <w:rsid w:val="00535B27"/>
    <w:rsid w:val="0053628B"/>
    <w:rsid w:val="0053651E"/>
    <w:rsid w:val="0053683F"/>
    <w:rsid w:val="00536A4C"/>
    <w:rsid w:val="00536D6D"/>
    <w:rsid w:val="005373E3"/>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026"/>
    <w:rsid w:val="00543988"/>
    <w:rsid w:val="00543CD0"/>
    <w:rsid w:val="00544064"/>
    <w:rsid w:val="00544241"/>
    <w:rsid w:val="0054462D"/>
    <w:rsid w:val="00544CBC"/>
    <w:rsid w:val="0054563A"/>
    <w:rsid w:val="00545A9F"/>
    <w:rsid w:val="00545BF0"/>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2250"/>
    <w:rsid w:val="005523C8"/>
    <w:rsid w:val="005526CB"/>
    <w:rsid w:val="005529E5"/>
    <w:rsid w:val="00552A7B"/>
    <w:rsid w:val="00553130"/>
    <w:rsid w:val="00553360"/>
    <w:rsid w:val="00553601"/>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836"/>
    <w:rsid w:val="0055683A"/>
    <w:rsid w:val="00556BFB"/>
    <w:rsid w:val="00556E30"/>
    <w:rsid w:val="005573D7"/>
    <w:rsid w:val="00557455"/>
    <w:rsid w:val="0055796A"/>
    <w:rsid w:val="00557CC4"/>
    <w:rsid w:val="0056005E"/>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B39"/>
    <w:rsid w:val="00574EE7"/>
    <w:rsid w:val="00575028"/>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AF0"/>
    <w:rsid w:val="00583545"/>
    <w:rsid w:val="005835F9"/>
    <w:rsid w:val="005838D4"/>
    <w:rsid w:val="00583DFD"/>
    <w:rsid w:val="00583F89"/>
    <w:rsid w:val="0058403F"/>
    <w:rsid w:val="005840E3"/>
    <w:rsid w:val="00584211"/>
    <w:rsid w:val="0058451D"/>
    <w:rsid w:val="005845D3"/>
    <w:rsid w:val="00584BF1"/>
    <w:rsid w:val="00584FC3"/>
    <w:rsid w:val="00585307"/>
    <w:rsid w:val="005856B1"/>
    <w:rsid w:val="0058572B"/>
    <w:rsid w:val="005858B1"/>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BBB"/>
    <w:rsid w:val="005C605F"/>
    <w:rsid w:val="005C6157"/>
    <w:rsid w:val="005C65F4"/>
    <w:rsid w:val="005C6614"/>
    <w:rsid w:val="005C6641"/>
    <w:rsid w:val="005C6AA0"/>
    <w:rsid w:val="005C6C76"/>
    <w:rsid w:val="005C6E06"/>
    <w:rsid w:val="005C7302"/>
    <w:rsid w:val="005C767C"/>
    <w:rsid w:val="005C7A22"/>
    <w:rsid w:val="005C7ACC"/>
    <w:rsid w:val="005C7CB3"/>
    <w:rsid w:val="005D005E"/>
    <w:rsid w:val="005D0086"/>
    <w:rsid w:val="005D0B90"/>
    <w:rsid w:val="005D0D7D"/>
    <w:rsid w:val="005D187F"/>
    <w:rsid w:val="005D1990"/>
    <w:rsid w:val="005D21E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E0CBB"/>
    <w:rsid w:val="005E1060"/>
    <w:rsid w:val="005E106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DB"/>
    <w:rsid w:val="005E4E19"/>
    <w:rsid w:val="005E53CB"/>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63A"/>
    <w:rsid w:val="005F6683"/>
    <w:rsid w:val="005F6C0F"/>
    <w:rsid w:val="005F72DE"/>
    <w:rsid w:val="005F74A2"/>
    <w:rsid w:val="005F7955"/>
    <w:rsid w:val="005F7C7A"/>
    <w:rsid w:val="006005D9"/>
    <w:rsid w:val="00600935"/>
    <w:rsid w:val="00600B10"/>
    <w:rsid w:val="00600B3A"/>
    <w:rsid w:val="00601144"/>
    <w:rsid w:val="006012B3"/>
    <w:rsid w:val="0060130E"/>
    <w:rsid w:val="00601434"/>
    <w:rsid w:val="00601689"/>
    <w:rsid w:val="006018DC"/>
    <w:rsid w:val="00601AD4"/>
    <w:rsid w:val="00601AD7"/>
    <w:rsid w:val="006021D2"/>
    <w:rsid w:val="00602531"/>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743C"/>
    <w:rsid w:val="00627C0A"/>
    <w:rsid w:val="00627D10"/>
    <w:rsid w:val="00627FAD"/>
    <w:rsid w:val="0063035F"/>
    <w:rsid w:val="0063060C"/>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37"/>
    <w:rsid w:val="0064088E"/>
    <w:rsid w:val="00640D50"/>
    <w:rsid w:val="00640E5B"/>
    <w:rsid w:val="00641273"/>
    <w:rsid w:val="00641598"/>
    <w:rsid w:val="00641D45"/>
    <w:rsid w:val="006422C8"/>
    <w:rsid w:val="006422DD"/>
    <w:rsid w:val="00642AA3"/>
    <w:rsid w:val="00642E2E"/>
    <w:rsid w:val="00642F0B"/>
    <w:rsid w:val="006433AF"/>
    <w:rsid w:val="0064346D"/>
    <w:rsid w:val="006436FC"/>
    <w:rsid w:val="00643A89"/>
    <w:rsid w:val="00643C76"/>
    <w:rsid w:val="00643E46"/>
    <w:rsid w:val="00644219"/>
    <w:rsid w:val="00644285"/>
    <w:rsid w:val="006443BD"/>
    <w:rsid w:val="00644A9C"/>
    <w:rsid w:val="00644EC7"/>
    <w:rsid w:val="00645458"/>
    <w:rsid w:val="00645634"/>
    <w:rsid w:val="0064563D"/>
    <w:rsid w:val="006457F2"/>
    <w:rsid w:val="0064589B"/>
    <w:rsid w:val="00646008"/>
    <w:rsid w:val="0064617E"/>
    <w:rsid w:val="00646422"/>
    <w:rsid w:val="00646AC1"/>
    <w:rsid w:val="00646B92"/>
    <w:rsid w:val="006474FD"/>
    <w:rsid w:val="00647874"/>
    <w:rsid w:val="00647898"/>
    <w:rsid w:val="00647C96"/>
    <w:rsid w:val="006500EA"/>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5B4"/>
    <w:rsid w:val="00653BE4"/>
    <w:rsid w:val="00653D43"/>
    <w:rsid w:val="0065421B"/>
    <w:rsid w:val="00654254"/>
    <w:rsid w:val="006542E6"/>
    <w:rsid w:val="006544E2"/>
    <w:rsid w:val="00654938"/>
    <w:rsid w:val="00654C7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CD9"/>
    <w:rsid w:val="00686364"/>
    <w:rsid w:val="006863B7"/>
    <w:rsid w:val="006865C4"/>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3E02"/>
    <w:rsid w:val="00694309"/>
    <w:rsid w:val="0069439D"/>
    <w:rsid w:val="006947F0"/>
    <w:rsid w:val="0069497D"/>
    <w:rsid w:val="006949E6"/>
    <w:rsid w:val="00694AAD"/>
    <w:rsid w:val="00694B48"/>
    <w:rsid w:val="00694DAB"/>
    <w:rsid w:val="00694DC0"/>
    <w:rsid w:val="00694DF9"/>
    <w:rsid w:val="00694E0B"/>
    <w:rsid w:val="006950C2"/>
    <w:rsid w:val="006950ED"/>
    <w:rsid w:val="00695528"/>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3B8"/>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F95"/>
    <w:rsid w:val="006A6204"/>
    <w:rsid w:val="006A624F"/>
    <w:rsid w:val="006A637F"/>
    <w:rsid w:val="006A638E"/>
    <w:rsid w:val="006A6458"/>
    <w:rsid w:val="006A68A0"/>
    <w:rsid w:val="006A69E1"/>
    <w:rsid w:val="006A72C6"/>
    <w:rsid w:val="006A75E3"/>
    <w:rsid w:val="006A785B"/>
    <w:rsid w:val="006A791C"/>
    <w:rsid w:val="006A79D6"/>
    <w:rsid w:val="006A7B3B"/>
    <w:rsid w:val="006A7C6F"/>
    <w:rsid w:val="006B0096"/>
    <w:rsid w:val="006B037B"/>
    <w:rsid w:val="006B03E3"/>
    <w:rsid w:val="006B10B7"/>
    <w:rsid w:val="006B12D7"/>
    <w:rsid w:val="006B136E"/>
    <w:rsid w:val="006B1490"/>
    <w:rsid w:val="006B1850"/>
    <w:rsid w:val="006B2A3A"/>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B82"/>
    <w:rsid w:val="006D6374"/>
    <w:rsid w:val="006D670B"/>
    <w:rsid w:val="006D6A03"/>
    <w:rsid w:val="006D6CB3"/>
    <w:rsid w:val="006D706C"/>
    <w:rsid w:val="006D73D0"/>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AA7"/>
    <w:rsid w:val="006E6CF5"/>
    <w:rsid w:val="006E6FF6"/>
    <w:rsid w:val="006E72A4"/>
    <w:rsid w:val="006E741B"/>
    <w:rsid w:val="006E7751"/>
    <w:rsid w:val="006E79F3"/>
    <w:rsid w:val="006E7A28"/>
    <w:rsid w:val="006E7C97"/>
    <w:rsid w:val="006E7D95"/>
    <w:rsid w:val="006E7DB1"/>
    <w:rsid w:val="006E7FD2"/>
    <w:rsid w:val="006F0269"/>
    <w:rsid w:val="006F0446"/>
    <w:rsid w:val="006F0835"/>
    <w:rsid w:val="006F0AEA"/>
    <w:rsid w:val="006F1322"/>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FCA"/>
    <w:rsid w:val="006F74E6"/>
    <w:rsid w:val="006F7583"/>
    <w:rsid w:val="006F7876"/>
    <w:rsid w:val="006F7B47"/>
    <w:rsid w:val="006F7B78"/>
    <w:rsid w:val="006F7E3B"/>
    <w:rsid w:val="0070001C"/>
    <w:rsid w:val="007000C0"/>
    <w:rsid w:val="00700D21"/>
    <w:rsid w:val="00700E6B"/>
    <w:rsid w:val="00700E75"/>
    <w:rsid w:val="0070176A"/>
    <w:rsid w:val="007018A1"/>
    <w:rsid w:val="00701A12"/>
    <w:rsid w:val="00701B81"/>
    <w:rsid w:val="00701C37"/>
    <w:rsid w:val="00701DA4"/>
    <w:rsid w:val="0070208F"/>
    <w:rsid w:val="00702434"/>
    <w:rsid w:val="00702BD1"/>
    <w:rsid w:val="00702FC9"/>
    <w:rsid w:val="007034FA"/>
    <w:rsid w:val="00703629"/>
    <w:rsid w:val="00703659"/>
    <w:rsid w:val="00703843"/>
    <w:rsid w:val="00703891"/>
    <w:rsid w:val="007038DB"/>
    <w:rsid w:val="00703A2A"/>
    <w:rsid w:val="00703BFB"/>
    <w:rsid w:val="00703C59"/>
    <w:rsid w:val="00703D81"/>
    <w:rsid w:val="00703EBA"/>
    <w:rsid w:val="00703FC7"/>
    <w:rsid w:val="0070478D"/>
    <w:rsid w:val="00705060"/>
    <w:rsid w:val="007055E4"/>
    <w:rsid w:val="00705720"/>
    <w:rsid w:val="00705DD3"/>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11DC"/>
    <w:rsid w:val="007118BB"/>
    <w:rsid w:val="00711A8B"/>
    <w:rsid w:val="0071210B"/>
    <w:rsid w:val="0071214E"/>
    <w:rsid w:val="00712173"/>
    <w:rsid w:val="007125D0"/>
    <w:rsid w:val="007127B4"/>
    <w:rsid w:val="007127D1"/>
    <w:rsid w:val="00712938"/>
    <w:rsid w:val="00712C5A"/>
    <w:rsid w:val="00713132"/>
    <w:rsid w:val="00713488"/>
    <w:rsid w:val="00713B26"/>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575"/>
    <w:rsid w:val="00720731"/>
    <w:rsid w:val="007208A1"/>
    <w:rsid w:val="007208AB"/>
    <w:rsid w:val="007210D3"/>
    <w:rsid w:val="007216D1"/>
    <w:rsid w:val="0072182E"/>
    <w:rsid w:val="007221ED"/>
    <w:rsid w:val="007225C3"/>
    <w:rsid w:val="00722700"/>
    <w:rsid w:val="0072293A"/>
    <w:rsid w:val="00722E44"/>
    <w:rsid w:val="00722FB2"/>
    <w:rsid w:val="007233F5"/>
    <w:rsid w:val="0072362F"/>
    <w:rsid w:val="0072394C"/>
    <w:rsid w:val="00723A92"/>
    <w:rsid w:val="00723CFD"/>
    <w:rsid w:val="00723E22"/>
    <w:rsid w:val="00723FFF"/>
    <w:rsid w:val="00724362"/>
    <w:rsid w:val="0072472C"/>
    <w:rsid w:val="007248DC"/>
    <w:rsid w:val="00724C08"/>
    <w:rsid w:val="00724DF9"/>
    <w:rsid w:val="00724EE3"/>
    <w:rsid w:val="00724F0D"/>
    <w:rsid w:val="00724F35"/>
    <w:rsid w:val="0072538A"/>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218"/>
    <w:rsid w:val="00733387"/>
    <w:rsid w:val="0073339C"/>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B1C"/>
    <w:rsid w:val="0074044B"/>
    <w:rsid w:val="007404A8"/>
    <w:rsid w:val="007408D8"/>
    <w:rsid w:val="00740AD4"/>
    <w:rsid w:val="00740B58"/>
    <w:rsid w:val="00740BC0"/>
    <w:rsid w:val="00740CAA"/>
    <w:rsid w:val="00740DFA"/>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4C"/>
    <w:rsid w:val="007537E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FE9"/>
    <w:rsid w:val="00757FF8"/>
    <w:rsid w:val="00760CD4"/>
    <w:rsid w:val="00760FB1"/>
    <w:rsid w:val="00761AD5"/>
    <w:rsid w:val="00761DE6"/>
    <w:rsid w:val="00761F62"/>
    <w:rsid w:val="007629F7"/>
    <w:rsid w:val="00762BB8"/>
    <w:rsid w:val="00762EA8"/>
    <w:rsid w:val="007632A4"/>
    <w:rsid w:val="00763384"/>
    <w:rsid w:val="00763666"/>
    <w:rsid w:val="007637B2"/>
    <w:rsid w:val="007637B7"/>
    <w:rsid w:val="0076446C"/>
    <w:rsid w:val="0076460B"/>
    <w:rsid w:val="00764939"/>
    <w:rsid w:val="00764A54"/>
    <w:rsid w:val="00764BB2"/>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20A"/>
    <w:rsid w:val="007A34DF"/>
    <w:rsid w:val="007A3614"/>
    <w:rsid w:val="007A3DA8"/>
    <w:rsid w:val="007A3DDA"/>
    <w:rsid w:val="007A3E61"/>
    <w:rsid w:val="007A4044"/>
    <w:rsid w:val="007A442A"/>
    <w:rsid w:val="007A4FBD"/>
    <w:rsid w:val="007A5144"/>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8BF"/>
    <w:rsid w:val="007B2AC5"/>
    <w:rsid w:val="007B2E32"/>
    <w:rsid w:val="007B2F65"/>
    <w:rsid w:val="007B2FCD"/>
    <w:rsid w:val="007B31A3"/>
    <w:rsid w:val="007B4168"/>
    <w:rsid w:val="007B4402"/>
    <w:rsid w:val="007B4529"/>
    <w:rsid w:val="007B4632"/>
    <w:rsid w:val="007B4779"/>
    <w:rsid w:val="007B5075"/>
    <w:rsid w:val="007B528D"/>
    <w:rsid w:val="007B546F"/>
    <w:rsid w:val="007B5810"/>
    <w:rsid w:val="007B5CB3"/>
    <w:rsid w:val="007B6682"/>
    <w:rsid w:val="007B6846"/>
    <w:rsid w:val="007B68FD"/>
    <w:rsid w:val="007B6946"/>
    <w:rsid w:val="007B6BA6"/>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04"/>
    <w:rsid w:val="007C2AE7"/>
    <w:rsid w:val="007C2F3C"/>
    <w:rsid w:val="007C377C"/>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850"/>
    <w:rsid w:val="007D1AEA"/>
    <w:rsid w:val="007D1E4B"/>
    <w:rsid w:val="007D2084"/>
    <w:rsid w:val="007D3EF8"/>
    <w:rsid w:val="007D3F5B"/>
    <w:rsid w:val="007D439E"/>
    <w:rsid w:val="007D46AA"/>
    <w:rsid w:val="007D4BEF"/>
    <w:rsid w:val="007D4F07"/>
    <w:rsid w:val="007D55FF"/>
    <w:rsid w:val="007D58E5"/>
    <w:rsid w:val="007D5B88"/>
    <w:rsid w:val="007D5E13"/>
    <w:rsid w:val="007D606B"/>
    <w:rsid w:val="007D632A"/>
    <w:rsid w:val="007D6409"/>
    <w:rsid w:val="007D644F"/>
    <w:rsid w:val="007D6599"/>
    <w:rsid w:val="007D6695"/>
    <w:rsid w:val="007D675C"/>
    <w:rsid w:val="007D69B4"/>
    <w:rsid w:val="007D6B45"/>
    <w:rsid w:val="007D6C31"/>
    <w:rsid w:val="007D7239"/>
    <w:rsid w:val="007D73F1"/>
    <w:rsid w:val="007D76EC"/>
    <w:rsid w:val="007D7B7C"/>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105"/>
    <w:rsid w:val="007F1268"/>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B22"/>
    <w:rsid w:val="00823C64"/>
    <w:rsid w:val="00823D5A"/>
    <w:rsid w:val="008240C5"/>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BC"/>
    <w:rsid w:val="0082731D"/>
    <w:rsid w:val="008273EF"/>
    <w:rsid w:val="008278B8"/>
    <w:rsid w:val="00827AD2"/>
    <w:rsid w:val="00827C49"/>
    <w:rsid w:val="00827F79"/>
    <w:rsid w:val="00827FC4"/>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703B"/>
    <w:rsid w:val="00837142"/>
    <w:rsid w:val="00837957"/>
    <w:rsid w:val="008379DB"/>
    <w:rsid w:val="00837AE5"/>
    <w:rsid w:val="00840CF5"/>
    <w:rsid w:val="00840D35"/>
    <w:rsid w:val="00840D36"/>
    <w:rsid w:val="0084111D"/>
    <w:rsid w:val="008414FC"/>
    <w:rsid w:val="008417A9"/>
    <w:rsid w:val="0084186A"/>
    <w:rsid w:val="00841DD6"/>
    <w:rsid w:val="00841FA0"/>
    <w:rsid w:val="00842340"/>
    <w:rsid w:val="00842B8E"/>
    <w:rsid w:val="00843043"/>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8D9"/>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CC1"/>
    <w:rsid w:val="00884E66"/>
    <w:rsid w:val="00885290"/>
    <w:rsid w:val="008854F4"/>
    <w:rsid w:val="0088566F"/>
    <w:rsid w:val="008856A3"/>
    <w:rsid w:val="0088590C"/>
    <w:rsid w:val="00885C1C"/>
    <w:rsid w:val="00885EC1"/>
    <w:rsid w:val="0088617D"/>
    <w:rsid w:val="008861B0"/>
    <w:rsid w:val="00886370"/>
    <w:rsid w:val="008866E3"/>
    <w:rsid w:val="00886F21"/>
    <w:rsid w:val="00886F50"/>
    <w:rsid w:val="0088718B"/>
    <w:rsid w:val="00887238"/>
    <w:rsid w:val="008876A9"/>
    <w:rsid w:val="00887D4A"/>
    <w:rsid w:val="00887E3F"/>
    <w:rsid w:val="00887E73"/>
    <w:rsid w:val="00887EA4"/>
    <w:rsid w:val="008908DA"/>
    <w:rsid w:val="00890BC7"/>
    <w:rsid w:val="00890E84"/>
    <w:rsid w:val="008912C0"/>
    <w:rsid w:val="008917BD"/>
    <w:rsid w:val="00891A49"/>
    <w:rsid w:val="00892214"/>
    <w:rsid w:val="00892786"/>
    <w:rsid w:val="00892792"/>
    <w:rsid w:val="008927C1"/>
    <w:rsid w:val="0089289F"/>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F92"/>
    <w:rsid w:val="008A6FDA"/>
    <w:rsid w:val="008A7254"/>
    <w:rsid w:val="008A747E"/>
    <w:rsid w:val="008A749E"/>
    <w:rsid w:val="008A773A"/>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E6D"/>
    <w:rsid w:val="008D1A2D"/>
    <w:rsid w:val="008D1A36"/>
    <w:rsid w:val="008D1A72"/>
    <w:rsid w:val="008D1D6A"/>
    <w:rsid w:val="008D1F89"/>
    <w:rsid w:val="008D216A"/>
    <w:rsid w:val="008D2354"/>
    <w:rsid w:val="008D28BD"/>
    <w:rsid w:val="008D2DF2"/>
    <w:rsid w:val="008D2EE6"/>
    <w:rsid w:val="008D2EFF"/>
    <w:rsid w:val="008D2F52"/>
    <w:rsid w:val="008D30BE"/>
    <w:rsid w:val="008D3914"/>
    <w:rsid w:val="008D3D9C"/>
    <w:rsid w:val="008D45DD"/>
    <w:rsid w:val="008D4C9F"/>
    <w:rsid w:val="008D5323"/>
    <w:rsid w:val="008D55AC"/>
    <w:rsid w:val="008D5810"/>
    <w:rsid w:val="008D5BA8"/>
    <w:rsid w:val="008D5D0C"/>
    <w:rsid w:val="008D613E"/>
    <w:rsid w:val="008D6168"/>
    <w:rsid w:val="008D6240"/>
    <w:rsid w:val="008D65C0"/>
    <w:rsid w:val="008D7EEA"/>
    <w:rsid w:val="008E04A9"/>
    <w:rsid w:val="008E07C0"/>
    <w:rsid w:val="008E0B6C"/>
    <w:rsid w:val="008E0BFA"/>
    <w:rsid w:val="008E0C87"/>
    <w:rsid w:val="008E0CC2"/>
    <w:rsid w:val="008E0FC5"/>
    <w:rsid w:val="008E2980"/>
    <w:rsid w:val="008E2A77"/>
    <w:rsid w:val="008E2E7F"/>
    <w:rsid w:val="008E3609"/>
    <w:rsid w:val="008E3635"/>
    <w:rsid w:val="008E3AE2"/>
    <w:rsid w:val="008E3BE1"/>
    <w:rsid w:val="008E406C"/>
    <w:rsid w:val="008E439E"/>
    <w:rsid w:val="008E47C6"/>
    <w:rsid w:val="008E480D"/>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713"/>
    <w:rsid w:val="008E7902"/>
    <w:rsid w:val="008E7A63"/>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5E6"/>
    <w:rsid w:val="009275EA"/>
    <w:rsid w:val="009300A9"/>
    <w:rsid w:val="009300D4"/>
    <w:rsid w:val="0093022B"/>
    <w:rsid w:val="00930873"/>
    <w:rsid w:val="009309DE"/>
    <w:rsid w:val="00930B68"/>
    <w:rsid w:val="00930B75"/>
    <w:rsid w:val="00930BC3"/>
    <w:rsid w:val="00931A21"/>
    <w:rsid w:val="00931BD0"/>
    <w:rsid w:val="00931E4A"/>
    <w:rsid w:val="00931FA9"/>
    <w:rsid w:val="009321DB"/>
    <w:rsid w:val="00932601"/>
    <w:rsid w:val="009329E9"/>
    <w:rsid w:val="00932AC2"/>
    <w:rsid w:val="00932DDE"/>
    <w:rsid w:val="00933051"/>
    <w:rsid w:val="0093326B"/>
    <w:rsid w:val="0093360C"/>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2CB"/>
    <w:rsid w:val="00952721"/>
    <w:rsid w:val="0095276D"/>
    <w:rsid w:val="00952AC8"/>
    <w:rsid w:val="009530F1"/>
    <w:rsid w:val="009533D1"/>
    <w:rsid w:val="009536EA"/>
    <w:rsid w:val="00953898"/>
    <w:rsid w:val="00953934"/>
    <w:rsid w:val="00953CCE"/>
    <w:rsid w:val="0095452B"/>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763"/>
    <w:rsid w:val="00971858"/>
    <w:rsid w:val="00971897"/>
    <w:rsid w:val="00971A84"/>
    <w:rsid w:val="00971AFE"/>
    <w:rsid w:val="00972143"/>
    <w:rsid w:val="009729D1"/>
    <w:rsid w:val="00972C07"/>
    <w:rsid w:val="009732EA"/>
    <w:rsid w:val="00973308"/>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667"/>
    <w:rsid w:val="0098472F"/>
    <w:rsid w:val="00984F0E"/>
    <w:rsid w:val="0098504B"/>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2BC"/>
    <w:rsid w:val="00994646"/>
    <w:rsid w:val="0099524A"/>
    <w:rsid w:val="009956AF"/>
    <w:rsid w:val="00995789"/>
    <w:rsid w:val="009958E9"/>
    <w:rsid w:val="00995A85"/>
    <w:rsid w:val="00995AB8"/>
    <w:rsid w:val="00995E1F"/>
    <w:rsid w:val="009963F2"/>
    <w:rsid w:val="00996573"/>
    <w:rsid w:val="009968E2"/>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605C"/>
    <w:rsid w:val="009A608A"/>
    <w:rsid w:val="009A633E"/>
    <w:rsid w:val="009A63B4"/>
    <w:rsid w:val="009A6462"/>
    <w:rsid w:val="009A652C"/>
    <w:rsid w:val="009A6686"/>
    <w:rsid w:val="009A6796"/>
    <w:rsid w:val="009A6DEE"/>
    <w:rsid w:val="009A6EC1"/>
    <w:rsid w:val="009A733E"/>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558"/>
    <w:rsid w:val="009C160C"/>
    <w:rsid w:val="009C170F"/>
    <w:rsid w:val="009C18C5"/>
    <w:rsid w:val="009C1937"/>
    <w:rsid w:val="009C19BF"/>
    <w:rsid w:val="009C1ACE"/>
    <w:rsid w:val="009C1D9F"/>
    <w:rsid w:val="009C1DE8"/>
    <w:rsid w:val="009C20C0"/>
    <w:rsid w:val="009C20C6"/>
    <w:rsid w:val="009C21CC"/>
    <w:rsid w:val="009C22B4"/>
    <w:rsid w:val="009C24FA"/>
    <w:rsid w:val="009C257C"/>
    <w:rsid w:val="009C2665"/>
    <w:rsid w:val="009C2C82"/>
    <w:rsid w:val="009C32C6"/>
    <w:rsid w:val="009C38F4"/>
    <w:rsid w:val="009C3C5B"/>
    <w:rsid w:val="009C3DF3"/>
    <w:rsid w:val="009C4047"/>
    <w:rsid w:val="009C44C7"/>
    <w:rsid w:val="009C4901"/>
    <w:rsid w:val="009C4A9F"/>
    <w:rsid w:val="009C4C25"/>
    <w:rsid w:val="009C4E33"/>
    <w:rsid w:val="009C521B"/>
    <w:rsid w:val="009C5872"/>
    <w:rsid w:val="009C5F31"/>
    <w:rsid w:val="009C6040"/>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595"/>
    <w:rsid w:val="009F3C5B"/>
    <w:rsid w:val="009F3EC9"/>
    <w:rsid w:val="009F3F08"/>
    <w:rsid w:val="009F3FFD"/>
    <w:rsid w:val="009F48C7"/>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39E"/>
    <w:rsid w:val="00A044C5"/>
    <w:rsid w:val="00A045FA"/>
    <w:rsid w:val="00A04E55"/>
    <w:rsid w:val="00A04EDE"/>
    <w:rsid w:val="00A050E1"/>
    <w:rsid w:val="00A05983"/>
    <w:rsid w:val="00A059DB"/>
    <w:rsid w:val="00A05BD0"/>
    <w:rsid w:val="00A05EC1"/>
    <w:rsid w:val="00A05F51"/>
    <w:rsid w:val="00A060E0"/>
    <w:rsid w:val="00A06442"/>
    <w:rsid w:val="00A06562"/>
    <w:rsid w:val="00A06651"/>
    <w:rsid w:val="00A06841"/>
    <w:rsid w:val="00A06880"/>
    <w:rsid w:val="00A06B6D"/>
    <w:rsid w:val="00A0723E"/>
    <w:rsid w:val="00A077B1"/>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323"/>
    <w:rsid w:val="00A2271E"/>
    <w:rsid w:val="00A2281C"/>
    <w:rsid w:val="00A22D5C"/>
    <w:rsid w:val="00A23000"/>
    <w:rsid w:val="00A234B8"/>
    <w:rsid w:val="00A23645"/>
    <w:rsid w:val="00A23CDC"/>
    <w:rsid w:val="00A2434D"/>
    <w:rsid w:val="00A24C24"/>
    <w:rsid w:val="00A24E18"/>
    <w:rsid w:val="00A252C9"/>
    <w:rsid w:val="00A2534A"/>
    <w:rsid w:val="00A2568D"/>
    <w:rsid w:val="00A25A6F"/>
    <w:rsid w:val="00A25E5E"/>
    <w:rsid w:val="00A25F24"/>
    <w:rsid w:val="00A2614E"/>
    <w:rsid w:val="00A26235"/>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C2C"/>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107E"/>
    <w:rsid w:val="00A4111F"/>
    <w:rsid w:val="00A415E5"/>
    <w:rsid w:val="00A4179C"/>
    <w:rsid w:val="00A41899"/>
    <w:rsid w:val="00A41A12"/>
    <w:rsid w:val="00A41BAE"/>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90A"/>
    <w:rsid w:val="00A52A8E"/>
    <w:rsid w:val="00A52D21"/>
    <w:rsid w:val="00A52DB5"/>
    <w:rsid w:val="00A5307C"/>
    <w:rsid w:val="00A531AF"/>
    <w:rsid w:val="00A53295"/>
    <w:rsid w:val="00A5342B"/>
    <w:rsid w:val="00A53BAA"/>
    <w:rsid w:val="00A53D81"/>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12C"/>
    <w:rsid w:val="00A70457"/>
    <w:rsid w:val="00A704C4"/>
    <w:rsid w:val="00A7098A"/>
    <w:rsid w:val="00A70D38"/>
    <w:rsid w:val="00A70F33"/>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D9"/>
    <w:rsid w:val="00A7633A"/>
    <w:rsid w:val="00A7636F"/>
    <w:rsid w:val="00A767D7"/>
    <w:rsid w:val="00A7680C"/>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50C"/>
    <w:rsid w:val="00A81756"/>
    <w:rsid w:val="00A8191F"/>
    <w:rsid w:val="00A8201C"/>
    <w:rsid w:val="00A822A7"/>
    <w:rsid w:val="00A822CC"/>
    <w:rsid w:val="00A82488"/>
    <w:rsid w:val="00A828E0"/>
    <w:rsid w:val="00A82CC5"/>
    <w:rsid w:val="00A82F3A"/>
    <w:rsid w:val="00A8302C"/>
    <w:rsid w:val="00A8326C"/>
    <w:rsid w:val="00A83319"/>
    <w:rsid w:val="00A833D8"/>
    <w:rsid w:val="00A83626"/>
    <w:rsid w:val="00A83B8C"/>
    <w:rsid w:val="00A83ED2"/>
    <w:rsid w:val="00A840BA"/>
    <w:rsid w:val="00A842C8"/>
    <w:rsid w:val="00A845A0"/>
    <w:rsid w:val="00A850FD"/>
    <w:rsid w:val="00A851A5"/>
    <w:rsid w:val="00A856FA"/>
    <w:rsid w:val="00A859A7"/>
    <w:rsid w:val="00A85F53"/>
    <w:rsid w:val="00A865A4"/>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1176"/>
    <w:rsid w:val="00AC13B9"/>
    <w:rsid w:val="00AC15F3"/>
    <w:rsid w:val="00AC172A"/>
    <w:rsid w:val="00AC1741"/>
    <w:rsid w:val="00AC1D3B"/>
    <w:rsid w:val="00AC1FF3"/>
    <w:rsid w:val="00AC2010"/>
    <w:rsid w:val="00AC2140"/>
    <w:rsid w:val="00AC28A9"/>
    <w:rsid w:val="00AC2DCD"/>
    <w:rsid w:val="00AC39AF"/>
    <w:rsid w:val="00AC3A5D"/>
    <w:rsid w:val="00AC3CBA"/>
    <w:rsid w:val="00AC4153"/>
    <w:rsid w:val="00AC4491"/>
    <w:rsid w:val="00AC4A11"/>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5AC"/>
    <w:rsid w:val="00AD5A22"/>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DA1"/>
    <w:rsid w:val="00B07E76"/>
    <w:rsid w:val="00B1000D"/>
    <w:rsid w:val="00B10026"/>
    <w:rsid w:val="00B1022D"/>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BA9"/>
    <w:rsid w:val="00B25C0F"/>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5112"/>
    <w:rsid w:val="00B4569C"/>
    <w:rsid w:val="00B4578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FB8"/>
    <w:rsid w:val="00B706F3"/>
    <w:rsid w:val="00B7072C"/>
    <w:rsid w:val="00B70A7D"/>
    <w:rsid w:val="00B70CB8"/>
    <w:rsid w:val="00B7166A"/>
    <w:rsid w:val="00B71689"/>
    <w:rsid w:val="00B71CEF"/>
    <w:rsid w:val="00B71F77"/>
    <w:rsid w:val="00B71FC7"/>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BC9"/>
    <w:rsid w:val="00B81BF5"/>
    <w:rsid w:val="00B81EFF"/>
    <w:rsid w:val="00B820DE"/>
    <w:rsid w:val="00B8260D"/>
    <w:rsid w:val="00B826D9"/>
    <w:rsid w:val="00B8284B"/>
    <w:rsid w:val="00B82910"/>
    <w:rsid w:val="00B82AA9"/>
    <w:rsid w:val="00B83AEF"/>
    <w:rsid w:val="00B83B55"/>
    <w:rsid w:val="00B83EAD"/>
    <w:rsid w:val="00B84451"/>
    <w:rsid w:val="00B844D5"/>
    <w:rsid w:val="00B84758"/>
    <w:rsid w:val="00B8484F"/>
    <w:rsid w:val="00B8498F"/>
    <w:rsid w:val="00B84B3E"/>
    <w:rsid w:val="00B850D9"/>
    <w:rsid w:val="00B854EA"/>
    <w:rsid w:val="00B85E34"/>
    <w:rsid w:val="00B85EA1"/>
    <w:rsid w:val="00B8607E"/>
    <w:rsid w:val="00B86108"/>
    <w:rsid w:val="00B86550"/>
    <w:rsid w:val="00B865EB"/>
    <w:rsid w:val="00B8671F"/>
    <w:rsid w:val="00B869A8"/>
    <w:rsid w:val="00B86B65"/>
    <w:rsid w:val="00B86D53"/>
    <w:rsid w:val="00B872A0"/>
    <w:rsid w:val="00B877B8"/>
    <w:rsid w:val="00B87BCB"/>
    <w:rsid w:val="00B87DE3"/>
    <w:rsid w:val="00B90276"/>
    <w:rsid w:val="00B902C0"/>
    <w:rsid w:val="00B90545"/>
    <w:rsid w:val="00B90A49"/>
    <w:rsid w:val="00B91014"/>
    <w:rsid w:val="00B911E2"/>
    <w:rsid w:val="00B9142C"/>
    <w:rsid w:val="00B917C9"/>
    <w:rsid w:val="00B91E49"/>
    <w:rsid w:val="00B9206F"/>
    <w:rsid w:val="00B920F3"/>
    <w:rsid w:val="00B922A3"/>
    <w:rsid w:val="00B92918"/>
    <w:rsid w:val="00B92D46"/>
    <w:rsid w:val="00B92E71"/>
    <w:rsid w:val="00B93150"/>
    <w:rsid w:val="00B93225"/>
    <w:rsid w:val="00B93AB0"/>
    <w:rsid w:val="00B93D19"/>
    <w:rsid w:val="00B93D66"/>
    <w:rsid w:val="00B94140"/>
    <w:rsid w:val="00B941C0"/>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90E"/>
    <w:rsid w:val="00BA0A0B"/>
    <w:rsid w:val="00BA0E45"/>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5F08"/>
    <w:rsid w:val="00BB6801"/>
    <w:rsid w:val="00BB6D71"/>
    <w:rsid w:val="00BB71D7"/>
    <w:rsid w:val="00BB7280"/>
    <w:rsid w:val="00BB7312"/>
    <w:rsid w:val="00BB76D8"/>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8A8"/>
    <w:rsid w:val="00BC48EE"/>
    <w:rsid w:val="00BC49EF"/>
    <w:rsid w:val="00BC4AE7"/>
    <w:rsid w:val="00BC4B24"/>
    <w:rsid w:val="00BC4BDE"/>
    <w:rsid w:val="00BC4DB0"/>
    <w:rsid w:val="00BC54C3"/>
    <w:rsid w:val="00BC5AF9"/>
    <w:rsid w:val="00BC5E44"/>
    <w:rsid w:val="00BC60EF"/>
    <w:rsid w:val="00BC63EE"/>
    <w:rsid w:val="00BC6667"/>
    <w:rsid w:val="00BC6763"/>
    <w:rsid w:val="00BC6DF7"/>
    <w:rsid w:val="00BC7205"/>
    <w:rsid w:val="00BC79D4"/>
    <w:rsid w:val="00BC79E1"/>
    <w:rsid w:val="00BC7D48"/>
    <w:rsid w:val="00BD006E"/>
    <w:rsid w:val="00BD0485"/>
    <w:rsid w:val="00BD04AC"/>
    <w:rsid w:val="00BD0526"/>
    <w:rsid w:val="00BD075A"/>
    <w:rsid w:val="00BD09BA"/>
    <w:rsid w:val="00BD0A21"/>
    <w:rsid w:val="00BD0E7B"/>
    <w:rsid w:val="00BD0EDB"/>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9F7"/>
    <w:rsid w:val="00BF0B29"/>
    <w:rsid w:val="00BF0EE4"/>
    <w:rsid w:val="00BF0F93"/>
    <w:rsid w:val="00BF129B"/>
    <w:rsid w:val="00BF15B8"/>
    <w:rsid w:val="00BF1A81"/>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7C4"/>
    <w:rsid w:val="00C247FD"/>
    <w:rsid w:val="00C24A07"/>
    <w:rsid w:val="00C24B64"/>
    <w:rsid w:val="00C24EF5"/>
    <w:rsid w:val="00C2501E"/>
    <w:rsid w:val="00C2561D"/>
    <w:rsid w:val="00C258B1"/>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7"/>
    <w:rsid w:val="00C37A80"/>
    <w:rsid w:val="00C37F2D"/>
    <w:rsid w:val="00C4008E"/>
    <w:rsid w:val="00C409B4"/>
    <w:rsid w:val="00C4165D"/>
    <w:rsid w:val="00C41BA5"/>
    <w:rsid w:val="00C41D36"/>
    <w:rsid w:val="00C41DA0"/>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AC6"/>
    <w:rsid w:val="00C76220"/>
    <w:rsid w:val="00C767B1"/>
    <w:rsid w:val="00C76A03"/>
    <w:rsid w:val="00C77593"/>
    <w:rsid w:val="00C77731"/>
    <w:rsid w:val="00C777FE"/>
    <w:rsid w:val="00C800A7"/>
    <w:rsid w:val="00C8061A"/>
    <w:rsid w:val="00C80683"/>
    <w:rsid w:val="00C80A77"/>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187"/>
    <w:rsid w:val="00C83611"/>
    <w:rsid w:val="00C84138"/>
    <w:rsid w:val="00C84D15"/>
    <w:rsid w:val="00C84E67"/>
    <w:rsid w:val="00C84EDF"/>
    <w:rsid w:val="00C85621"/>
    <w:rsid w:val="00C85B84"/>
    <w:rsid w:val="00C85CAD"/>
    <w:rsid w:val="00C86031"/>
    <w:rsid w:val="00C86069"/>
    <w:rsid w:val="00C864A4"/>
    <w:rsid w:val="00C86F27"/>
    <w:rsid w:val="00C87318"/>
    <w:rsid w:val="00C87480"/>
    <w:rsid w:val="00C874BF"/>
    <w:rsid w:val="00C8776C"/>
    <w:rsid w:val="00C87AF6"/>
    <w:rsid w:val="00C87CAA"/>
    <w:rsid w:val="00C90D5B"/>
    <w:rsid w:val="00C912E9"/>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CEB"/>
    <w:rsid w:val="00C95DFF"/>
    <w:rsid w:val="00C95F6B"/>
    <w:rsid w:val="00C95F80"/>
    <w:rsid w:val="00C9640E"/>
    <w:rsid w:val="00C96785"/>
    <w:rsid w:val="00C9757B"/>
    <w:rsid w:val="00C97AD2"/>
    <w:rsid w:val="00C97B38"/>
    <w:rsid w:val="00C97CF9"/>
    <w:rsid w:val="00CA03C3"/>
    <w:rsid w:val="00CA03F6"/>
    <w:rsid w:val="00CA061A"/>
    <w:rsid w:val="00CA0820"/>
    <w:rsid w:val="00CA0A11"/>
    <w:rsid w:val="00CA0AFF"/>
    <w:rsid w:val="00CA0B6E"/>
    <w:rsid w:val="00CA0BE5"/>
    <w:rsid w:val="00CA0F26"/>
    <w:rsid w:val="00CA14B7"/>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2D"/>
    <w:rsid w:val="00CA6F62"/>
    <w:rsid w:val="00CA722D"/>
    <w:rsid w:val="00CA728E"/>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2112"/>
    <w:rsid w:val="00CB2122"/>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99"/>
    <w:rsid w:val="00CC132A"/>
    <w:rsid w:val="00CC1396"/>
    <w:rsid w:val="00CC151B"/>
    <w:rsid w:val="00CC155A"/>
    <w:rsid w:val="00CC188A"/>
    <w:rsid w:val="00CC1962"/>
    <w:rsid w:val="00CC1C6D"/>
    <w:rsid w:val="00CC2462"/>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5B"/>
    <w:rsid w:val="00CE08D3"/>
    <w:rsid w:val="00CE0A9A"/>
    <w:rsid w:val="00CE0C6E"/>
    <w:rsid w:val="00CE0E22"/>
    <w:rsid w:val="00CE0E9E"/>
    <w:rsid w:val="00CE0FC6"/>
    <w:rsid w:val="00CE1267"/>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824"/>
    <w:rsid w:val="00CF0A8F"/>
    <w:rsid w:val="00CF0AD4"/>
    <w:rsid w:val="00CF1506"/>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E50"/>
    <w:rsid w:val="00CF5358"/>
    <w:rsid w:val="00CF551E"/>
    <w:rsid w:val="00CF57F4"/>
    <w:rsid w:val="00CF589F"/>
    <w:rsid w:val="00CF58F3"/>
    <w:rsid w:val="00CF59E2"/>
    <w:rsid w:val="00CF5A20"/>
    <w:rsid w:val="00CF5A39"/>
    <w:rsid w:val="00CF5A5B"/>
    <w:rsid w:val="00CF5C48"/>
    <w:rsid w:val="00CF5E94"/>
    <w:rsid w:val="00CF6498"/>
    <w:rsid w:val="00CF654D"/>
    <w:rsid w:val="00CF67B0"/>
    <w:rsid w:val="00CF6F3E"/>
    <w:rsid w:val="00CF76D4"/>
    <w:rsid w:val="00CF7786"/>
    <w:rsid w:val="00CF7AAC"/>
    <w:rsid w:val="00CF7B1A"/>
    <w:rsid w:val="00CF7D9E"/>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B10"/>
    <w:rsid w:val="00D04D6F"/>
    <w:rsid w:val="00D04E19"/>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CAA"/>
    <w:rsid w:val="00D40FAF"/>
    <w:rsid w:val="00D41485"/>
    <w:rsid w:val="00D41AD9"/>
    <w:rsid w:val="00D4214F"/>
    <w:rsid w:val="00D4259E"/>
    <w:rsid w:val="00D425A9"/>
    <w:rsid w:val="00D4265A"/>
    <w:rsid w:val="00D426D7"/>
    <w:rsid w:val="00D4272C"/>
    <w:rsid w:val="00D4274E"/>
    <w:rsid w:val="00D42F28"/>
    <w:rsid w:val="00D4321B"/>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126C"/>
    <w:rsid w:val="00D5170E"/>
    <w:rsid w:val="00D51930"/>
    <w:rsid w:val="00D51A6E"/>
    <w:rsid w:val="00D51E70"/>
    <w:rsid w:val="00D52680"/>
    <w:rsid w:val="00D536DC"/>
    <w:rsid w:val="00D536F1"/>
    <w:rsid w:val="00D54108"/>
    <w:rsid w:val="00D5436C"/>
    <w:rsid w:val="00D543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395"/>
    <w:rsid w:val="00D66480"/>
    <w:rsid w:val="00D669D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BAE"/>
    <w:rsid w:val="00D82E00"/>
    <w:rsid w:val="00D83208"/>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5D9"/>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BE8"/>
    <w:rsid w:val="00DA0C2C"/>
    <w:rsid w:val="00DA0D89"/>
    <w:rsid w:val="00DA0F32"/>
    <w:rsid w:val="00DA14BE"/>
    <w:rsid w:val="00DA150B"/>
    <w:rsid w:val="00DA1524"/>
    <w:rsid w:val="00DA1D7F"/>
    <w:rsid w:val="00DA1F6F"/>
    <w:rsid w:val="00DA2010"/>
    <w:rsid w:val="00DA26A7"/>
    <w:rsid w:val="00DA2A6A"/>
    <w:rsid w:val="00DA2AB6"/>
    <w:rsid w:val="00DA2E73"/>
    <w:rsid w:val="00DA3059"/>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00A"/>
    <w:rsid w:val="00DC03E8"/>
    <w:rsid w:val="00DC0483"/>
    <w:rsid w:val="00DC074A"/>
    <w:rsid w:val="00DC0837"/>
    <w:rsid w:val="00DC09B2"/>
    <w:rsid w:val="00DC0B71"/>
    <w:rsid w:val="00DC0CBE"/>
    <w:rsid w:val="00DC110A"/>
    <w:rsid w:val="00DC1223"/>
    <w:rsid w:val="00DC16D8"/>
    <w:rsid w:val="00DC1DF7"/>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C5D"/>
    <w:rsid w:val="00DD7D61"/>
    <w:rsid w:val="00DD7E26"/>
    <w:rsid w:val="00DE00D1"/>
    <w:rsid w:val="00DE0127"/>
    <w:rsid w:val="00DE0B62"/>
    <w:rsid w:val="00DE0F5E"/>
    <w:rsid w:val="00DE1311"/>
    <w:rsid w:val="00DE1384"/>
    <w:rsid w:val="00DE14AF"/>
    <w:rsid w:val="00DE159C"/>
    <w:rsid w:val="00DE1624"/>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EAD"/>
    <w:rsid w:val="00DE54C6"/>
    <w:rsid w:val="00DE54D8"/>
    <w:rsid w:val="00DE5603"/>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97B"/>
    <w:rsid w:val="00E13B98"/>
    <w:rsid w:val="00E13C3F"/>
    <w:rsid w:val="00E13D0B"/>
    <w:rsid w:val="00E13FD7"/>
    <w:rsid w:val="00E140E1"/>
    <w:rsid w:val="00E1440E"/>
    <w:rsid w:val="00E1446D"/>
    <w:rsid w:val="00E144D8"/>
    <w:rsid w:val="00E148EB"/>
    <w:rsid w:val="00E149FF"/>
    <w:rsid w:val="00E14AE8"/>
    <w:rsid w:val="00E15043"/>
    <w:rsid w:val="00E15237"/>
    <w:rsid w:val="00E152E7"/>
    <w:rsid w:val="00E15575"/>
    <w:rsid w:val="00E15622"/>
    <w:rsid w:val="00E166C0"/>
    <w:rsid w:val="00E16871"/>
    <w:rsid w:val="00E1696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6D"/>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C5"/>
    <w:rsid w:val="00E32285"/>
    <w:rsid w:val="00E326F4"/>
    <w:rsid w:val="00E32745"/>
    <w:rsid w:val="00E32EAA"/>
    <w:rsid w:val="00E32F9C"/>
    <w:rsid w:val="00E3300E"/>
    <w:rsid w:val="00E33178"/>
    <w:rsid w:val="00E3320D"/>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66E"/>
    <w:rsid w:val="00E36C3E"/>
    <w:rsid w:val="00E36D6C"/>
    <w:rsid w:val="00E370BC"/>
    <w:rsid w:val="00E371C3"/>
    <w:rsid w:val="00E373AC"/>
    <w:rsid w:val="00E376BA"/>
    <w:rsid w:val="00E37956"/>
    <w:rsid w:val="00E379EB"/>
    <w:rsid w:val="00E4013C"/>
    <w:rsid w:val="00E401F7"/>
    <w:rsid w:val="00E40AF6"/>
    <w:rsid w:val="00E40E63"/>
    <w:rsid w:val="00E40F3B"/>
    <w:rsid w:val="00E4119D"/>
    <w:rsid w:val="00E411ED"/>
    <w:rsid w:val="00E4127C"/>
    <w:rsid w:val="00E4133D"/>
    <w:rsid w:val="00E41521"/>
    <w:rsid w:val="00E4164B"/>
    <w:rsid w:val="00E416F5"/>
    <w:rsid w:val="00E41ADF"/>
    <w:rsid w:val="00E41FA7"/>
    <w:rsid w:val="00E42C92"/>
    <w:rsid w:val="00E42ED6"/>
    <w:rsid w:val="00E433A4"/>
    <w:rsid w:val="00E43A7D"/>
    <w:rsid w:val="00E43B7E"/>
    <w:rsid w:val="00E44181"/>
    <w:rsid w:val="00E443C3"/>
    <w:rsid w:val="00E443E0"/>
    <w:rsid w:val="00E4448C"/>
    <w:rsid w:val="00E445EA"/>
    <w:rsid w:val="00E4471B"/>
    <w:rsid w:val="00E44902"/>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601F5"/>
    <w:rsid w:val="00E60264"/>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512F"/>
    <w:rsid w:val="00E853AA"/>
    <w:rsid w:val="00E856AE"/>
    <w:rsid w:val="00E85ADE"/>
    <w:rsid w:val="00E86350"/>
    <w:rsid w:val="00E863DE"/>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6D"/>
    <w:rsid w:val="00E96217"/>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090"/>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C10"/>
    <w:rsid w:val="00EB6D76"/>
    <w:rsid w:val="00EB73D2"/>
    <w:rsid w:val="00EB774E"/>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C91"/>
    <w:rsid w:val="00EE6047"/>
    <w:rsid w:val="00EE6159"/>
    <w:rsid w:val="00EE6C01"/>
    <w:rsid w:val="00EE6D1E"/>
    <w:rsid w:val="00EE7000"/>
    <w:rsid w:val="00EE7074"/>
    <w:rsid w:val="00EE760F"/>
    <w:rsid w:val="00EE7A57"/>
    <w:rsid w:val="00EE7C0A"/>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F20"/>
    <w:rsid w:val="00EF442B"/>
    <w:rsid w:val="00EF4775"/>
    <w:rsid w:val="00EF4837"/>
    <w:rsid w:val="00EF4C04"/>
    <w:rsid w:val="00EF51FC"/>
    <w:rsid w:val="00EF54E7"/>
    <w:rsid w:val="00EF5AB8"/>
    <w:rsid w:val="00EF5BE7"/>
    <w:rsid w:val="00EF5D7F"/>
    <w:rsid w:val="00EF5F1B"/>
    <w:rsid w:val="00EF6090"/>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CF"/>
    <w:rsid w:val="00F07F31"/>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D59"/>
    <w:rsid w:val="00F14FB1"/>
    <w:rsid w:val="00F14FF3"/>
    <w:rsid w:val="00F15515"/>
    <w:rsid w:val="00F1567A"/>
    <w:rsid w:val="00F15DD8"/>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C0E"/>
    <w:rsid w:val="00F45DB4"/>
    <w:rsid w:val="00F460FD"/>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1C24"/>
    <w:rsid w:val="00F6245C"/>
    <w:rsid w:val="00F62B05"/>
    <w:rsid w:val="00F62BB6"/>
    <w:rsid w:val="00F62E11"/>
    <w:rsid w:val="00F63121"/>
    <w:rsid w:val="00F63205"/>
    <w:rsid w:val="00F632A0"/>
    <w:rsid w:val="00F63DC2"/>
    <w:rsid w:val="00F64502"/>
    <w:rsid w:val="00F64A0B"/>
    <w:rsid w:val="00F64C22"/>
    <w:rsid w:val="00F65473"/>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30"/>
    <w:rsid w:val="00F84327"/>
    <w:rsid w:val="00F843CC"/>
    <w:rsid w:val="00F8488F"/>
    <w:rsid w:val="00F84984"/>
    <w:rsid w:val="00F849A5"/>
    <w:rsid w:val="00F84D5A"/>
    <w:rsid w:val="00F84EA9"/>
    <w:rsid w:val="00F8532B"/>
    <w:rsid w:val="00F85465"/>
    <w:rsid w:val="00F8547A"/>
    <w:rsid w:val="00F8575A"/>
    <w:rsid w:val="00F85F06"/>
    <w:rsid w:val="00F8639A"/>
    <w:rsid w:val="00F87307"/>
    <w:rsid w:val="00F874CB"/>
    <w:rsid w:val="00F876CA"/>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B22"/>
    <w:rsid w:val="00FA6BE1"/>
    <w:rsid w:val="00FA70D8"/>
    <w:rsid w:val="00FA74AE"/>
    <w:rsid w:val="00FA74C6"/>
    <w:rsid w:val="00FA7696"/>
    <w:rsid w:val="00FA7CDB"/>
    <w:rsid w:val="00FB0069"/>
    <w:rsid w:val="00FB03BA"/>
    <w:rsid w:val="00FB0832"/>
    <w:rsid w:val="00FB0B9C"/>
    <w:rsid w:val="00FB0BCD"/>
    <w:rsid w:val="00FB0D3B"/>
    <w:rsid w:val="00FB10CB"/>
    <w:rsid w:val="00FB130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67D3"/>
    <w:rsid w:val="00FB69EE"/>
    <w:rsid w:val="00FB780E"/>
    <w:rsid w:val="00FB7892"/>
    <w:rsid w:val="00FB7C81"/>
    <w:rsid w:val="00FB7E2E"/>
    <w:rsid w:val="00FC02D1"/>
    <w:rsid w:val="00FC03DD"/>
    <w:rsid w:val="00FC0A68"/>
    <w:rsid w:val="00FC0B17"/>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FC"/>
    <w:rsid w:val="00FC59B4"/>
    <w:rsid w:val="00FC5FEF"/>
    <w:rsid w:val="00FC6050"/>
    <w:rsid w:val="00FC612F"/>
    <w:rsid w:val="00FC619A"/>
    <w:rsid w:val="00FC64D5"/>
    <w:rsid w:val="00FC67ED"/>
    <w:rsid w:val="00FC68E1"/>
    <w:rsid w:val="00FC6B25"/>
    <w:rsid w:val="00FC6CB7"/>
    <w:rsid w:val="00FC76EB"/>
    <w:rsid w:val="00FC77CB"/>
    <w:rsid w:val="00FC7810"/>
    <w:rsid w:val="00FC7982"/>
    <w:rsid w:val="00FC7AA0"/>
    <w:rsid w:val="00FC7FC6"/>
    <w:rsid w:val="00FD00C2"/>
    <w:rsid w:val="00FD04B3"/>
    <w:rsid w:val="00FD0A7F"/>
    <w:rsid w:val="00FD0AA7"/>
    <w:rsid w:val="00FD0CEA"/>
    <w:rsid w:val="00FD0D22"/>
    <w:rsid w:val="00FD0D9B"/>
    <w:rsid w:val="00FD0FAB"/>
    <w:rsid w:val="00FD1074"/>
    <w:rsid w:val="00FD119B"/>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77"/>
    <w:rsid w:val="00FD6104"/>
    <w:rsid w:val="00FD625A"/>
    <w:rsid w:val="00FD6540"/>
    <w:rsid w:val="00FD6C64"/>
    <w:rsid w:val="00FD75BE"/>
    <w:rsid w:val="00FD7683"/>
    <w:rsid w:val="00FD76F5"/>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6ED"/>
    <w:rsid w:val="00FE2B1B"/>
    <w:rsid w:val="00FE2BCC"/>
    <w:rsid w:val="00FE3089"/>
    <w:rsid w:val="00FE3112"/>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7F"/>
    <w:rsid w:val="00FF137E"/>
    <w:rsid w:val="00FF13A8"/>
    <w:rsid w:val="00FF14DA"/>
    <w:rsid w:val="00FF15B4"/>
    <w:rsid w:val="00FF182C"/>
    <w:rsid w:val="00FF1CA6"/>
    <w:rsid w:val="00FF24FC"/>
    <w:rsid w:val="00FF26E1"/>
    <w:rsid w:val="00FF2804"/>
    <w:rsid w:val="00FF2A4E"/>
    <w:rsid w:val="00FF2BFF"/>
    <w:rsid w:val="00FF2E98"/>
    <w:rsid w:val="00FF2F90"/>
    <w:rsid w:val="00FF3046"/>
    <w:rsid w:val="00FF320A"/>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8F1416"/>
    <w:rsid w:val="019E1D4A"/>
    <w:rsid w:val="01AB094A"/>
    <w:rsid w:val="01AE21DC"/>
    <w:rsid w:val="01B306E4"/>
    <w:rsid w:val="01D27A5F"/>
    <w:rsid w:val="01DF44FB"/>
    <w:rsid w:val="01F37365"/>
    <w:rsid w:val="02004B2C"/>
    <w:rsid w:val="0201766A"/>
    <w:rsid w:val="02035721"/>
    <w:rsid w:val="02151F95"/>
    <w:rsid w:val="02211A0E"/>
    <w:rsid w:val="022A4AA1"/>
    <w:rsid w:val="022E47B0"/>
    <w:rsid w:val="023D4739"/>
    <w:rsid w:val="02554599"/>
    <w:rsid w:val="02554999"/>
    <w:rsid w:val="02565169"/>
    <w:rsid w:val="02574326"/>
    <w:rsid w:val="025B75F9"/>
    <w:rsid w:val="026A3596"/>
    <w:rsid w:val="026C0DE0"/>
    <w:rsid w:val="02720839"/>
    <w:rsid w:val="02762CB4"/>
    <w:rsid w:val="02767EF6"/>
    <w:rsid w:val="02827220"/>
    <w:rsid w:val="029B47FF"/>
    <w:rsid w:val="02A461E0"/>
    <w:rsid w:val="02B34E07"/>
    <w:rsid w:val="02C40A2A"/>
    <w:rsid w:val="02C93D1E"/>
    <w:rsid w:val="02D472A2"/>
    <w:rsid w:val="02DC5D29"/>
    <w:rsid w:val="02E818F1"/>
    <w:rsid w:val="02EE6889"/>
    <w:rsid w:val="02F15DA2"/>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47B83"/>
    <w:rsid w:val="03AE2B70"/>
    <w:rsid w:val="03B21B06"/>
    <w:rsid w:val="03B6607F"/>
    <w:rsid w:val="03BB3F8C"/>
    <w:rsid w:val="03C200B6"/>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82356"/>
    <w:rsid w:val="064244D9"/>
    <w:rsid w:val="06511ACC"/>
    <w:rsid w:val="06564BA4"/>
    <w:rsid w:val="065A7399"/>
    <w:rsid w:val="066A602E"/>
    <w:rsid w:val="067751BD"/>
    <w:rsid w:val="06A11B02"/>
    <w:rsid w:val="06BA6ABF"/>
    <w:rsid w:val="06C62058"/>
    <w:rsid w:val="06CF7159"/>
    <w:rsid w:val="06D32D7E"/>
    <w:rsid w:val="06E21138"/>
    <w:rsid w:val="06E64C63"/>
    <w:rsid w:val="06F24EF2"/>
    <w:rsid w:val="06FD40DB"/>
    <w:rsid w:val="07082E19"/>
    <w:rsid w:val="071C09FC"/>
    <w:rsid w:val="07437B7C"/>
    <w:rsid w:val="07470651"/>
    <w:rsid w:val="074F79E7"/>
    <w:rsid w:val="07565B77"/>
    <w:rsid w:val="075815C4"/>
    <w:rsid w:val="075960B3"/>
    <w:rsid w:val="078A01E7"/>
    <w:rsid w:val="078A415E"/>
    <w:rsid w:val="07934010"/>
    <w:rsid w:val="079D12CF"/>
    <w:rsid w:val="07A46BE4"/>
    <w:rsid w:val="07AE7932"/>
    <w:rsid w:val="07B814E5"/>
    <w:rsid w:val="07C25F74"/>
    <w:rsid w:val="07D013A8"/>
    <w:rsid w:val="07D648D8"/>
    <w:rsid w:val="07E22A7A"/>
    <w:rsid w:val="07F8491F"/>
    <w:rsid w:val="07FB29C2"/>
    <w:rsid w:val="07FD44E9"/>
    <w:rsid w:val="08042FBA"/>
    <w:rsid w:val="0805407D"/>
    <w:rsid w:val="080E66E4"/>
    <w:rsid w:val="08127126"/>
    <w:rsid w:val="08132E8B"/>
    <w:rsid w:val="081467CE"/>
    <w:rsid w:val="081D0E45"/>
    <w:rsid w:val="081D706E"/>
    <w:rsid w:val="08253679"/>
    <w:rsid w:val="0829358F"/>
    <w:rsid w:val="083D54A0"/>
    <w:rsid w:val="083D716A"/>
    <w:rsid w:val="084B79E5"/>
    <w:rsid w:val="085A74A5"/>
    <w:rsid w:val="085D519A"/>
    <w:rsid w:val="086378F2"/>
    <w:rsid w:val="086D1BC3"/>
    <w:rsid w:val="08706B4B"/>
    <w:rsid w:val="087F51C7"/>
    <w:rsid w:val="088A1CFB"/>
    <w:rsid w:val="088B79C8"/>
    <w:rsid w:val="08917913"/>
    <w:rsid w:val="08A43A02"/>
    <w:rsid w:val="08A94AC0"/>
    <w:rsid w:val="08CC1330"/>
    <w:rsid w:val="08CE61CB"/>
    <w:rsid w:val="08D2064E"/>
    <w:rsid w:val="08F44BC5"/>
    <w:rsid w:val="08FA203B"/>
    <w:rsid w:val="090515DA"/>
    <w:rsid w:val="0918370E"/>
    <w:rsid w:val="093512F4"/>
    <w:rsid w:val="093A1D12"/>
    <w:rsid w:val="094706FF"/>
    <w:rsid w:val="094B14E7"/>
    <w:rsid w:val="095017F1"/>
    <w:rsid w:val="09513804"/>
    <w:rsid w:val="095256C8"/>
    <w:rsid w:val="09664D4F"/>
    <w:rsid w:val="09984675"/>
    <w:rsid w:val="09AB29D4"/>
    <w:rsid w:val="09BC33E9"/>
    <w:rsid w:val="09C63A15"/>
    <w:rsid w:val="09DE356F"/>
    <w:rsid w:val="0A0518AB"/>
    <w:rsid w:val="0A0D50DF"/>
    <w:rsid w:val="0A17229C"/>
    <w:rsid w:val="0A245887"/>
    <w:rsid w:val="0A32370E"/>
    <w:rsid w:val="0A3247B9"/>
    <w:rsid w:val="0A3376ED"/>
    <w:rsid w:val="0A351957"/>
    <w:rsid w:val="0A531778"/>
    <w:rsid w:val="0A585A2D"/>
    <w:rsid w:val="0A594E3E"/>
    <w:rsid w:val="0A5C144D"/>
    <w:rsid w:val="0A5C768D"/>
    <w:rsid w:val="0A6B68D5"/>
    <w:rsid w:val="0A6F50FD"/>
    <w:rsid w:val="0A722E39"/>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D79BF"/>
    <w:rsid w:val="0ACE1EAB"/>
    <w:rsid w:val="0AD26326"/>
    <w:rsid w:val="0AD95B34"/>
    <w:rsid w:val="0AE1593F"/>
    <w:rsid w:val="0AE57C7B"/>
    <w:rsid w:val="0AE65CB9"/>
    <w:rsid w:val="0AE71F9A"/>
    <w:rsid w:val="0AE96B11"/>
    <w:rsid w:val="0AFD09EB"/>
    <w:rsid w:val="0AFF05E6"/>
    <w:rsid w:val="0B07538C"/>
    <w:rsid w:val="0B0F3E64"/>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C005070"/>
    <w:rsid w:val="0C195365"/>
    <w:rsid w:val="0C1A6BD3"/>
    <w:rsid w:val="0C1D70C9"/>
    <w:rsid w:val="0C266D9C"/>
    <w:rsid w:val="0C6F4E58"/>
    <w:rsid w:val="0C76751C"/>
    <w:rsid w:val="0C9E5B83"/>
    <w:rsid w:val="0CBD7CE0"/>
    <w:rsid w:val="0CFB1DB9"/>
    <w:rsid w:val="0D103D70"/>
    <w:rsid w:val="0D1C1B50"/>
    <w:rsid w:val="0D220294"/>
    <w:rsid w:val="0D283356"/>
    <w:rsid w:val="0D3A4A42"/>
    <w:rsid w:val="0D413ECD"/>
    <w:rsid w:val="0D5773D6"/>
    <w:rsid w:val="0D594DB6"/>
    <w:rsid w:val="0D632B1E"/>
    <w:rsid w:val="0D6E771D"/>
    <w:rsid w:val="0D7D7848"/>
    <w:rsid w:val="0D80206A"/>
    <w:rsid w:val="0D8E173E"/>
    <w:rsid w:val="0DA10A04"/>
    <w:rsid w:val="0DAB37C5"/>
    <w:rsid w:val="0DD74FA9"/>
    <w:rsid w:val="0DE65F6D"/>
    <w:rsid w:val="0DF13B47"/>
    <w:rsid w:val="0E0A5187"/>
    <w:rsid w:val="0E332166"/>
    <w:rsid w:val="0E3917FF"/>
    <w:rsid w:val="0E4B4C91"/>
    <w:rsid w:val="0E4D5766"/>
    <w:rsid w:val="0E613656"/>
    <w:rsid w:val="0E633F79"/>
    <w:rsid w:val="0E6E3480"/>
    <w:rsid w:val="0E72787E"/>
    <w:rsid w:val="0E86024B"/>
    <w:rsid w:val="0E8645C8"/>
    <w:rsid w:val="0E8A433B"/>
    <w:rsid w:val="0E9F5739"/>
    <w:rsid w:val="0E9F7159"/>
    <w:rsid w:val="0EB37BB2"/>
    <w:rsid w:val="0EC3008E"/>
    <w:rsid w:val="0EC5059A"/>
    <w:rsid w:val="0ED9547E"/>
    <w:rsid w:val="0EDB339F"/>
    <w:rsid w:val="0EF10F2E"/>
    <w:rsid w:val="0EF53E39"/>
    <w:rsid w:val="0F1155E2"/>
    <w:rsid w:val="0F125211"/>
    <w:rsid w:val="0F152A9D"/>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16B6A"/>
    <w:rsid w:val="0F82210C"/>
    <w:rsid w:val="0F950757"/>
    <w:rsid w:val="0FA023BF"/>
    <w:rsid w:val="0FA36B70"/>
    <w:rsid w:val="0FA36D3D"/>
    <w:rsid w:val="0FA37671"/>
    <w:rsid w:val="0FAA4F5D"/>
    <w:rsid w:val="0FAC2C6D"/>
    <w:rsid w:val="0FB70395"/>
    <w:rsid w:val="0FBA4112"/>
    <w:rsid w:val="0FBB10D0"/>
    <w:rsid w:val="0FC96156"/>
    <w:rsid w:val="0FDA6A10"/>
    <w:rsid w:val="0FE473BA"/>
    <w:rsid w:val="0FEC2D9A"/>
    <w:rsid w:val="0FED4E61"/>
    <w:rsid w:val="0FF96EA0"/>
    <w:rsid w:val="10014099"/>
    <w:rsid w:val="10040C3F"/>
    <w:rsid w:val="100A0456"/>
    <w:rsid w:val="100B59FA"/>
    <w:rsid w:val="10110CDB"/>
    <w:rsid w:val="101651EC"/>
    <w:rsid w:val="101C28C6"/>
    <w:rsid w:val="10206D1E"/>
    <w:rsid w:val="10211C2E"/>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B24DF"/>
    <w:rsid w:val="10B04858"/>
    <w:rsid w:val="10BC2AE5"/>
    <w:rsid w:val="10D42E50"/>
    <w:rsid w:val="10D653BA"/>
    <w:rsid w:val="10DB6356"/>
    <w:rsid w:val="10EF5ED1"/>
    <w:rsid w:val="10F2465E"/>
    <w:rsid w:val="10F42936"/>
    <w:rsid w:val="10FA231C"/>
    <w:rsid w:val="110A731F"/>
    <w:rsid w:val="112A5200"/>
    <w:rsid w:val="112B7604"/>
    <w:rsid w:val="11306888"/>
    <w:rsid w:val="1132026E"/>
    <w:rsid w:val="114E27DF"/>
    <w:rsid w:val="11596CEE"/>
    <w:rsid w:val="1168799E"/>
    <w:rsid w:val="11885738"/>
    <w:rsid w:val="118A295D"/>
    <w:rsid w:val="118B5FDD"/>
    <w:rsid w:val="119569CB"/>
    <w:rsid w:val="11A10C39"/>
    <w:rsid w:val="11A64DBC"/>
    <w:rsid w:val="11AD59AB"/>
    <w:rsid w:val="11AF324A"/>
    <w:rsid w:val="11B31B1D"/>
    <w:rsid w:val="11B814E6"/>
    <w:rsid w:val="11BE6CAE"/>
    <w:rsid w:val="11C532DA"/>
    <w:rsid w:val="11C557B7"/>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A15804"/>
    <w:rsid w:val="12A908D3"/>
    <w:rsid w:val="12AA7F02"/>
    <w:rsid w:val="12B31A9B"/>
    <w:rsid w:val="12B359F6"/>
    <w:rsid w:val="12B47253"/>
    <w:rsid w:val="12C14396"/>
    <w:rsid w:val="12DE33CA"/>
    <w:rsid w:val="12F83AAE"/>
    <w:rsid w:val="12FC274E"/>
    <w:rsid w:val="12FF52DE"/>
    <w:rsid w:val="13030235"/>
    <w:rsid w:val="13063F94"/>
    <w:rsid w:val="131A1EB8"/>
    <w:rsid w:val="131D547C"/>
    <w:rsid w:val="13344C16"/>
    <w:rsid w:val="13400A22"/>
    <w:rsid w:val="1343505A"/>
    <w:rsid w:val="134546AC"/>
    <w:rsid w:val="13544A6B"/>
    <w:rsid w:val="13596CEC"/>
    <w:rsid w:val="1359756C"/>
    <w:rsid w:val="135C3AB9"/>
    <w:rsid w:val="136B08B3"/>
    <w:rsid w:val="13744B61"/>
    <w:rsid w:val="137A40BD"/>
    <w:rsid w:val="138F4ADA"/>
    <w:rsid w:val="13910B1E"/>
    <w:rsid w:val="1392098C"/>
    <w:rsid w:val="13B563DA"/>
    <w:rsid w:val="13B772BD"/>
    <w:rsid w:val="13BC4080"/>
    <w:rsid w:val="13BD31AB"/>
    <w:rsid w:val="13C1348F"/>
    <w:rsid w:val="13CD27B6"/>
    <w:rsid w:val="13E022AE"/>
    <w:rsid w:val="13E532CA"/>
    <w:rsid w:val="13ED0B0B"/>
    <w:rsid w:val="13ED7D7F"/>
    <w:rsid w:val="13F03755"/>
    <w:rsid w:val="13F96221"/>
    <w:rsid w:val="14007100"/>
    <w:rsid w:val="14041834"/>
    <w:rsid w:val="140C178D"/>
    <w:rsid w:val="14142D39"/>
    <w:rsid w:val="14145A78"/>
    <w:rsid w:val="14176353"/>
    <w:rsid w:val="141F7FB3"/>
    <w:rsid w:val="14242FDA"/>
    <w:rsid w:val="142D67FD"/>
    <w:rsid w:val="14436E72"/>
    <w:rsid w:val="144F55C3"/>
    <w:rsid w:val="1450322B"/>
    <w:rsid w:val="14547E86"/>
    <w:rsid w:val="14637D36"/>
    <w:rsid w:val="146B2919"/>
    <w:rsid w:val="14775F02"/>
    <w:rsid w:val="147C2A02"/>
    <w:rsid w:val="147E33CA"/>
    <w:rsid w:val="1487373C"/>
    <w:rsid w:val="14880C3A"/>
    <w:rsid w:val="14960C1B"/>
    <w:rsid w:val="14B0700C"/>
    <w:rsid w:val="14BE42CF"/>
    <w:rsid w:val="14C02505"/>
    <w:rsid w:val="14C10602"/>
    <w:rsid w:val="14C34089"/>
    <w:rsid w:val="14DA25EE"/>
    <w:rsid w:val="14DB33FC"/>
    <w:rsid w:val="14DD38E5"/>
    <w:rsid w:val="14DE0AFC"/>
    <w:rsid w:val="14E7787F"/>
    <w:rsid w:val="14F44F2E"/>
    <w:rsid w:val="1504779D"/>
    <w:rsid w:val="15065137"/>
    <w:rsid w:val="150B2214"/>
    <w:rsid w:val="15113E7B"/>
    <w:rsid w:val="15205ED3"/>
    <w:rsid w:val="15416178"/>
    <w:rsid w:val="1561603B"/>
    <w:rsid w:val="15690DB0"/>
    <w:rsid w:val="156E7972"/>
    <w:rsid w:val="157463C1"/>
    <w:rsid w:val="157E6456"/>
    <w:rsid w:val="15831360"/>
    <w:rsid w:val="158F48E5"/>
    <w:rsid w:val="15AB06A9"/>
    <w:rsid w:val="15C72B5F"/>
    <w:rsid w:val="15C94A90"/>
    <w:rsid w:val="15D74588"/>
    <w:rsid w:val="15E352BE"/>
    <w:rsid w:val="15EB4378"/>
    <w:rsid w:val="15FB4E72"/>
    <w:rsid w:val="160B185E"/>
    <w:rsid w:val="16106849"/>
    <w:rsid w:val="16142093"/>
    <w:rsid w:val="1628036C"/>
    <w:rsid w:val="16435A3F"/>
    <w:rsid w:val="164E6878"/>
    <w:rsid w:val="165E0F0A"/>
    <w:rsid w:val="16702D89"/>
    <w:rsid w:val="16704155"/>
    <w:rsid w:val="16721938"/>
    <w:rsid w:val="16785161"/>
    <w:rsid w:val="16796F0F"/>
    <w:rsid w:val="1688556A"/>
    <w:rsid w:val="169839BA"/>
    <w:rsid w:val="169D05F3"/>
    <w:rsid w:val="16A00FDF"/>
    <w:rsid w:val="16A32AAC"/>
    <w:rsid w:val="16A470C1"/>
    <w:rsid w:val="16AF0615"/>
    <w:rsid w:val="16B13FB1"/>
    <w:rsid w:val="16BD0B49"/>
    <w:rsid w:val="16D50CFC"/>
    <w:rsid w:val="16E33AB3"/>
    <w:rsid w:val="16EB76EF"/>
    <w:rsid w:val="16F1418C"/>
    <w:rsid w:val="16FF0792"/>
    <w:rsid w:val="170F5922"/>
    <w:rsid w:val="17141C1D"/>
    <w:rsid w:val="171B0546"/>
    <w:rsid w:val="17283764"/>
    <w:rsid w:val="17304A49"/>
    <w:rsid w:val="173353C2"/>
    <w:rsid w:val="174224E7"/>
    <w:rsid w:val="17493381"/>
    <w:rsid w:val="174C5C47"/>
    <w:rsid w:val="176355E5"/>
    <w:rsid w:val="176A51F7"/>
    <w:rsid w:val="17831475"/>
    <w:rsid w:val="178359D2"/>
    <w:rsid w:val="17874ED3"/>
    <w:rsid w:val="17886A2C"/>
    <w:rsid w:val="178F26E7"/>
    <w:rsid w:val="178F77F8"/>
    <w:rsid w:val="17966843"/>
    <w:rsid w:val="17A9660F"/>
    <w:rsid w:val="17AC2BC8"/>
    <w:rsid w:val="17B52D69"/>
    <w:rsid w:val="17B73D84"/>
    <w:rsid w:val="17C33EF7"/>
    <w:rsid w:val="17D04B6E"/>
    <w:rsid w:val="17D80F4C"/>
    <w:rsid w:val="17E14521"/>
    <w:rsid w:val="17EA61AE"/>
    <w:rsid w:val="18002CEE"/>
    <w:rsid w:val="180414A0"/>
    <w:rsid w:val="18077070"/>
    <w:rsid w:val="18117661"/>
    <w:rsid w:val="182307A2"/>
    <w:rsid w:val="184840C9"/>
    <w:rsid w:val="18523ADE"/>
    <w:rsid w:val="18660CD4"/>
    <w:rsid w:val="1866694B"/>
    <w:rsid w:val="186C1ACE"/>
    <w:rsid w:val="1884015D"/>
    <w:rsid w:val="18890477"/>
    <w:rsid w:val="188C5B30"/>
    <w:rsid w:val="188C6C7D"/>
    <w:rsid w:val="18960812"/>
    <w:rsid w:val="189C7EF6"/>
    <w:rsid w:val="18B04B4D"/>
    <w:rsid w:val="18B04EB7"/>
    <w:rsid w:val="18B119EB"/>
    <w:rsid w:val="18C5316D"/>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D1732F"/>
    <w:rsid w:val="19D842E3"/>
    <w:rsid w:val="19E502ED"/>
    <w:rsid w:val="19F92180"/>
    <w:rsid w:val="1A001213"/>
    <w:rsid w:val="1A0D4248"/>
    <w:rsid w:val="1A193779"/>
    <w:rsid w:val="1A200A74"/>
    <w:rsid w:val="1A224DDA"/>
    <w:rsid w:val="1A2619C2"/>
    <w:rsid w:val="1A273DF6"/>
    <w:rsid w:val="1A2F2398"/>
    <w:rsid w:val="1A3055B8"/>
    <w:rsid w:val="1A5655AF"/>
    <w:rsid w:val="1A581194"/>
    <w:rsid w:val="1A5F508B"/>
    <w:rsid w:val="1A69797C"/>
    <w:rsid w:val="1A6B5CD7"/>
    <w:rsid w:val="1A98475D"/>
    <w:rsid w:val="1A9B675D"/>
    <w:rsid w:val="1AA03985"/>
    <w:rsid w:val="1AA31400"/>
    <w:rsid w:val="1AD153DF"/>
    <w:rsid w:val="1AD36372"/>
    <w:rsid w:val="1AD66584"/>
    <w:rsid w:val="1ADE3E70"/>
    <w:rsid w:val="1AE032B7"/>
    <w:rsid w:val="1AE42348"/>
    <w:rsid w:val="1AE5004C"/>
    <w:rsid w:val="1AF2383D"/>
    <w:rsid w:val="1B01287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C5A93"/>
    <w:rsid w:val="1C3D2E04"/>
    <w:rsid w:val="1C3D5C01"/>
    <w:rsid w:val="1C4811FB"/>
    <w:rsid w:val="1C4852DE"/>
    <w:rsid w:val="1C4D45E0"/>
    <w:rsid w:val="1C512857"/>
    <w:rsid w:val="1C5276D3"/>
    <w:rsid w:val="1C643148"/>
    <w:rsid w:val="1C7046F1"/>
    <w:rsid w:val="1C731024"/>
    <w:rsid w:val="1C7E73CF"/>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5582C"/>
    <w:rsid w:val="1DBC1C44"/>
    <w:rsid w:val="1DCA4CD3"/>
    <w:rsid w:val="1DCC2895"/>
    <w:rsid w:val="1DD222AA"/>
    <w:rsid w:val="1DD4692F"/>
    <w:rsid w:val="1DF24DA6"/>
    <w:rsid w:val="1DF43659"/>
    <w:rsid w:val="1DFC21EE"/>
    <w:rsid w:val="1E096FC1"/>
    <w:rsid w:val="1E0E4DD7"/>
    <w:rsid w:val="1E1159C0"/>
    <w:rsid w:val="1E350FE6"/>
    <w:rsid w:val="1E383808"/>
    <w:rsid w:val="1E4473F8"/>
    <w:rsid w:val="1E490459"/>
    <w:rsid w:val="1E50751B"/>
    <w:rsid w:val="1E545B82"/>
    <w:rsid w:val="1E6447CF"/>
    <w:rsid w:val="1E6D1C74"/>
    <w:rsid w:val="1E736E4E"/>
    <w:rsid w:val="1E7E5EB1"/>
    <w:rsid w:val="1E9304A1"/>
    <w:rsid w:val="1E9B048D"/>
    <w:rsid w:val="1EA61B83"/>
    <w:rsid w:val="1EA82227"/>
    <w:rsid w:val="1EAD188D"/>
    <w:rsid w:val="1EB23EB8"/>
    <w:rsid w:val="1EB61A3A"/>
    <w:rsid w:val="1EB74545"/>
    <w:rsid w:val="1EBD1356"/>
    <w:rsid w:val="1EBF31D2"/>
    <w:rsid w:val="1EDC2551"/>
    <w:rsid w:val="1EDC50AE"/>
    <w:rsid w:val="1EF23920"/>
    <w:rsid w:val="1EF80396"/>
    <w:rsid w:val="1F025038"/>
    <w:rsid w:val="1F032AB6"/>
    <w:rsid w:val="1F06550F"/>
    <w:rsid w:val="1F1C29EF"/>
    <w:rsid w:val="1F234826"/>
    <w:rsid w:val="1F31645A"/>
    <w:rsid w:val="1F3B0B82"/>
    <w:rsid w:val="1F4773C4"/>
    <w:rsid w:val="1F490531"/>
    <w:rsid w:val="1F4934E4"/>
    <w:rsid w:val="1F4C44D7"/>
    <w:rsid w:val="1F517BAC"/>
    <w:rsid w:val="1F5C56B9"/>
    <w:rsid w:val="1F5E0D38"/>
    <w:rsid w:val="1F5F4414"/>
    <w:rsid w:val="1F637F58"/>
    <w:rsid w:val="1F826970"/>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F3B23"/>
    <w:rsid w:val="201967D7"/>
    <w:rsid w:val="20374786"/>
    <w:rsid w:val="2039386F"/>
    <w:rsid w:val="204652BA"/>
    <w:rsid w:val="204C3A64"/>
    <w:rsid w:val="20601C10"/>
    <w:rsid w:val="2068761A"/>
    <w:rsid w:val="20757C7B"/>
    <w:rsid w:val="208B02C7"/>
    <w:rsid w:val="20934821"/>
    <w:rsid w:val="20A13861"/>
    <w:rsid w:val="20A1469C"/>
    <w:rsid w:val="20A73604"/>
    <w:rsid w:val="20BB0C31"/>
    <w:rsid w:val="20BF5F5D"/>
    <w:rsid w:val="20C66D8E"/>
    <w:rsid w:val="20CF37FC"/>
    <w:rsid w:val="20D63E00"/>
    <w:rsid w:val="20D717F3"/>
    <w:rsid w:val="20E02D05"/>
    <w:rsid w:val="20E174BD"/>
    <w:rsid w:val="20F01565"/>
    <w:rsid w:val="20F12135"/>
    <w:rsid w:val="20F90AAC"/>
    <w:rsid w:val="20FA405B"/>
    <w:rsid w:val="20FE0B65"/>
    <w:rsid w:val="21041267"/>
    <w:rsid w:val="212B616E"/>
    <w:rsid w:val="213121BA"/>
    <w:rsid w:val="21326410"/>
    <w:rsid w:val="214A2960"/>
    <w:rsid w:val="214D20D4"/>
    <w:rsid w:val="215302B9"/>
    <w:rsid w:val="215670DE"/>
    <w:rsid w:val="217102B7"/>
    <w:rsid w:val="2183462B"/>
    <w:rsid w:val="218E4A09"/>
    <w:rsid w:val="218E6399"/>
    <w:rsid w:val="219C6DDD"/>
    <w:rsid w:val="21A267FB"/>
    <w:rsid w:val="21A65C3E"/>
    <w:rsid w:val="21BB2F28"/>
    <w:rsid w:val="21DF3292"/>
    <w:rsid w:val="21DF71DE"/>
    <w:rsid w:val="21FE4E4A"/>
    <w:rsid w:val="22111157"/>
    <w:rsid w:val="2226397C"/>
    <w:rsid w:val="2229623B"/>
    <w:rsid w:val="223A67A6"/>
    <w:rsid w:val="22477192"/>
    <w:rsid w:val="224C2951"/>
    <w:rsid w:val="22505840"/>
    <w:rsid w:val="2252126E"/>
    <w:rsid w:val="22762010"/>
    <w:rsid w:val="2276233E"/>
    <w:rsid w:val="227A54E3"/>
    <w:rsid w:val="22865CFC"/>
    <w:rsid w:val="228738BF"/>
    <w:rsid w:val="22964C60"/>
    <w:rsid w:val="22B0505D"/>
    <w:rsid w:val="22BA31B9"/>
    <w:rsid w:val="22BD3256"/>
    <w:rsid w:val="22BD4E7D"/>
    <w:rsid w:val="22D07449"/>
    <w:rsid w:val="22E40F3D"/>
    <w:rsid w:val="22FC6881"/>
    <w:rsid w:val="230B248C"/>
    <w:rsid w:val="231847B8"/>
    <w:rsid w:val="231E3ED2"/>
    <w:rsid w:val="23245E3C"/>
    <w:rsid w:val="23304ABE"/>
    <w:rsid w:val="234421C7"/>
    <w:rsid w:val="234D61BE"/>
    <w:rsid w:val="23500A60"/>
    <w:rsid w:val="23537C14"/>
    <w:rsid w:val="235807FE"/>
    <w:rsid w:val="2362645B"/>
    <w:rsid w:val="236E0B9E"/>
    <w:rsid w:val="23700EEA"/>
    <w:rsid w:val="2373688C"/>
    <w:rsid w:val="237C41A0"/>
    <w:rsid w:val="238C42D2"/>
    <w:rsid w:val="23912F5D"/>
    <w:rsid w:val="2393048F"/>
    <w:rsid w:val="2396352A"/>
    <w:rsid w:val="239E3C8F"/>
    <w:rsid w:val="23A06B4E"/>
    <w:rsid w:val="23A40CCF"/>
    <w:rsid w:val="23A52134"/>
    <w:rsid w:val="23AF056B"/>
    <w:rsid w:val="23B26439"/>
    <w:rsid w:val="23C85CD2"/>
    <w:rsid w:val="23D2277A"/>
    <w:rsid w:val="23FA1D01"/>
    <w:rsid w:val="2404601A"/>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AC4545"/>
    <w:rsid w:val="24B346B5"/>
    <w:rsid w:val="24B606B7"/>
    <w:rsid w:val="24D92A69"/>
    <w:rsid w:val="24EC3BCA"/>
    <w:rsid w:val="24EC4ADF"/>
    <w:rsid w:val="24EF6448"/>
    <w:rsid w:val="24F71B8F"/>
    <w:rsid w:val="24F92CDE"/>
    <w:rsid w:val="250A2221"/>
    <w:rsid w:val="250C0B5D"/>
    <w:rsid w:val="251D528F"/>
    <w:rsid w:val="252129A2"/>
    <w:rsid w:val="2526703C"/>
    <w:rsid w:val="25335BFF"/>
    <w:rsid w:val="25353A77"/>
    <w:rsid w:val="253D4E51"/>
    <w:rsid w:val="25462DA6"/>
    <w:rsid w:val="255E002A"/>
    <w:rsid w:val="25893EFE"/>
    <w:rsid w:val="2598706E"/>
    <w:rsid w:val="25A115C9"/>
    <w:rsid w:val="25B02203"/>
    <w:rsid w:val="25B35E6A"/>
    <w:rsid w:val="25BE6749"/>
    <w:rsid w:val="25DE0185"/>
    <w:rsid w:val="25E04003"/>
    <w:rsid w:val="25EE6875"/>
    <w:rsid w:val="25F86534"/>
    <w:rsid w:val="26056FD7"/>
    <w:rsid w:val="260C334C"/>
    <w:rsid w:val="260C5700"/>
    <w:rsid w:val="26276BC7"/>
    <w:rsid w:val="262E1EAD"/>
    <w:rsid w:val="262E24B2"/>
    <w:rsid w:val="263878CF"/>
    <w:rsid w:val="26412189"/>
    <w:rsid w:val="26517452"/>
    <w:rsid w:val="26566E1C"/>
    <w:rsid w:val="26613FB9"/>
    <w:rsid w:val="2679079E"/>
    <w:rsid w:val="268120E0"/>
    <w:rsid w:val="268B4EFD"/>
    <w:rsid w:val="269F3FC9"/>
    <w:rsid w:val="26A10A64"/>
    <w:rsid w:val="26A24282"/>
    <w:rsid w:val="26A84F52"/>
    <w:rsid w:val="26BB6790"/>
    <w:rsid w:val="26C84C3F"/>
    <w:rsid w:val="26CA39FA"/>
    <w:rsid w:val="26D85E33"/>
    <w:rsid w:val="26DB2072"/>
    <w:rsid w:val="270A0CB9"/>
    <w:rsid w:val="270B4A30"/>
    <w:rsid w:val="270C4AA5"/>
    <w:rsid w:val="270F1235"/>
    <w:rsid w:val="27154206"/>
    <w:rsid w:val="271D238B"/>
    <w:rsid w:val="272A62FD"/>
    <w:rsid w:val="273460AC"/>
    <w:rsid w:val="2737495D"/>
    <w:rsid w:val="273E42CE"/>
    <w:rsid w:val="274E64D1"/>
    <w:rsid w:val="276E4F5B"/>
    <w:rsid w:val="2784424C"/>
    <w:rsid w:val="27862FAB"/>
    <w:rsid w:val="278F67DD"/>
    <w:rsid w:val="27A268B7"/>
    <w:rsid w:val="27B3345D"/>
    <w:rsid w:val="27B778B7"/>
    <w:rsid w:val="27C25D9D"/>
    <w:rsid w:val="27CE4805"/>
    <w:rsid w:val="27D32862"/>
    <w:rsid w:val="27DC01C9"/>
    <w:rsid w:val="27E24B4A"/>
    <w:rsid w:val="27E53287"/>
    <w:rsid w:val="27E8590F"/>
    <w:rsid w:val="27EA6D62"/>
    <w:rsid w:val="28151DED"/>
    <w:rsid w:val="28300784"/>
    <w:rsid w:val="28316877"/>
    <w:rsid w:val="283A1513"/>
    <w:rsid w:val="283D77DD"/>
    <w:rsid w:val="283F2A39"/>
    <w:rsid w:val="2845420B"/>
    <w:rsid w:val="286260C3"/>
    <w:rsid w:val="28630E79"/>
    <w:rsid w:val="286C4BBC"/>
    <w:rsid w:val="28871103"/>
    <w:rsid w:val="289E6725"/>
    <w:rsid w:val="28A2337A"/>
    <w:rsid w:val="28A83323"/>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60DB3"/>
    <w:rsid w:val="295A2143"/>
    <w:rsid w:val="296A6D6A"/>
    <w:rsid w:val="29864976"/>
    <w:rsid w:val="298714C5"/>
    <w:rsid w:val="298A3588"/>
    <w:rsid w:val="299E7A8C"/>
    <w:rsid w:val="29C52E87"/>
    <w:rsid w:val="29C80548"/>
    <w:rsid w:val="29CE7264"/>
    <w:rsid w:val="29D9317B"/>
    <w:rsid w:val="29EC161D"/>
    <w:rsid w:val="29F04EAF"/>
    <w:rsid w:val="29F116D0"/>
    <w:rsid w:val="2A0241CA"/>
    <w:rsid w:val="2A0777DB"/>
    <w:rsid w:val="2A1074D9"/>
    <w:rsid w:val="2A136762"/>
    <w:rsid w:val="2A154338"/>
    <w:rsid w:val="2A1E7E82"/>
    <w:rsid w:val="2A447AF7"/>
    <w:rsid w:val="2A606A11"/>
    <w:rsid w:val="2A7D5C08"/>
    <w:rsid w:val="2A832C81"/>
    <w:rsid w:val="2A846AB0"/>
    <w:rsid w:val="2A90033E"/>
    <w:rsid w:val="2AA47786"/>
    <w:rsid w:val="2AAA19F3"/>
    <w:rsid w:val="2AAD65EE"/>
    <w:rsid w:val="2AB23403"/>
    <w:rsid w:val="2AC27269"/>
    <w:rsid w:val="2AC77380"/>
    <w:rsid w:val="2ACE617E"/>
    <w:rsid w:val="2ADB4579"/>
    <w:rsid w:val="2ADD6AFD"/>
    <w:rsid w:val="2ADE6550"/>
    <w:rsid w:val="2AEA0CBC"/>
    <w:rsid w:val="2AFE0D9C"/>
    <w:rsid w:val="2B16602A"/>
    <w:rsid w:val="2B2C1FD1"/>
    <w:rsid w:val="2B2E0309"/>
    <w:rsid w:val="2B4132DB"/>
    <w:rsid w:val="2B422946"/>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D315B0"/>
    <w:rsid w:val="2BD66C4E"/>
    <w:rsid w:val="2BD81424"/>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D12AE5"/>
    <w:rsid w:val="2CF02C63"/>
    <w:rsid w:val="2D1352C4"/>
    <w:rsid w:val="2D1D56C0"/>
    <w:rsid w:val="2D310CA2"/>
    <w:rsid w:val="2D3A323B"/>
    <w:rsid w:val="2D444485"/>
    <w:rsid w:val="2D4B55E5"/>
    <w:rsid w:val="2D4C0E6E"/>
    <w:rsid w:val="2D4C6148"/>
    <w:rsid w:val="2D53589F"/>
    <w:rsid w:val="2D5B1217"/>
    <w:rsid w:val="2D636D67"/>
    <w:rsid w:val="2D7646A7"/>
    <w:rsid w:val="2D7B05FB"/>
    <w:rsid w:val="2D8A4A41"/>
    <w:rsid w:val="2D8A62C6"/>
    <w:rsid w:val="2D926963"/>
    <w:rsid w:val="2DA21C7A"/>
    <w:rsid w:val="2DB30550"/>
    <w:rsid w:val="2DDA7850"/>
    <w:rsid w:val="2DDC0104"/>
    <w:rsid w:val="2DE379BB"/>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B575E"/>
    <w:rsid w:val="2EAD6888"/>
    <w:rsid w:val="2EB413EF"/>
    <w:rsid w:val="2EB50951"/>
    <w:rsid w:val="2EB673FD"/>
    <w:rsid w:val="2EB809B1"/>
    <w:rsid w:val="2EB81831"/>
    <w:rsid w:val="2EBC7A6F"/>
    <w:rsid w:val="2EC40E47"/>
    <w:rsid w:val="2EC941FC"/>
    <w:rsid w:val="2ECF7A85"/>
    <w:rsid w:val="2EE054B3"/>
    <w:rsid w:val="2EEB0155"/>
    <w:rsid w:val="2EFA0186"/>
    <w:rsid w:val="2EFA6107"/>
    <w:rsid w:val="2F0236C3"/>
    <w:rsid w:val="2F082BB8"/>
    <w:rsid w:val="2F0F048D"/>
    <w:rsid w:val="2F0F7632"/>
    <w:rsid w:val="2F2B5ABF"/>
    <w:rsid w:val="2F2E604D"/>
    <w:rsid w:val="2F332368"/>
    <w:rsid w:val="2F417886"/>
    <w:rsid w:val="2F4D26D8"/>
    <w:rsid w:val="2F563788"/>
    <w:rsid w:val="2F5D2DA3"/>
    <w:rsid w:val="2F7473F9"/>
    <w:rsid w:val="2F7659EF"/>
    <w:rsid w:val="2F882E85"/>
    <w:rsid w:val="2F8A1363"/>
    <w:rsid w:val="2F8E5AA8"/>
    <w:rsid w:val="2F9A7F4A"/>
    <w:rsid w:val="2FB90071"/>
    <w:rsid w:val="2FC733B8"/>
    <w:rsid w:val="2FCA4F20"/>
    <w:rsid w:val="2FF433FB"/>
    <w:rsid w:val="30054EEB"/>
    <w:rsid w:val="300C4C70"/>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96C6B"/>
    <w:rsid w:val="30A71A05"/>
    <w:rsid w:val="30AD31BD"/>
    <w:rsid w:val="30CA16AB"/>
    <w:rsid w:val="30D0377D"/>
    <w:rsid w:val="30D1717F"/>
    <w:rsid w:val="30D2261F"/>
    <w:rsid w:val="30D4773C"/>
    <w:rsid w:val="30DE0226"/>
    <w:rsid w:val="30F50A2A"/>
    <w:rsid w:val="31007D5E"/>
    <w:rsid w:val="311068D2"/>
    <w:rsid w:val="31115223"/>
    <w:rsid w:val="31263645"/>
    <w:rsid w:val="312B3436"/>
    <w:rsid w:val="31442CD4"/>
    <w:rsid w:val="31445B9B"/>
    <w:rsid w:val="314D2A6F"/>
    <w:rsid w:val="314F5F72"/>
    <w:rsid w:val="316B13D5"/>
    <w:rsid w:val="31720F1D"/>
    <w:rsid w:val="31745B98"/>
    <w:rsid w:val="317A7F18"/>
    <w:rsid w:val="317D6929"/>
    <w:rsid w:val="317E525C"/>
    <w:rsid w:val="319951C3"/>
    <w:rsid w:val="31B3107E"/>
    <w:rsid w:val="31B347D1"/>
    <w:rsid w:val="31BF03E5"/>
    <w:rsid w:val="31D371E1"/>
    <w:rsid w:val="31E65427"/>
    <w:rsid w:val="31EF7D40"/>
    <w:rsid w:val="31F33BFC"/>
    <w:rsid w:val="31F43BF9"/>
    <w:rsid w:val="31F96A5C"/>
    <w:rsid w:val="31FA0E29"/>
    <w:rsid w:val="31FB6610"/>
    <w:rsid w:val="31FE3F69"/>
    <w:rsid w:val="32006ED8"/>
    <w:rsid w:val="320733C3"/>
    <w:rsid w:val="321C18F4"/>
    <w:rsid w:val="321C2B52"/>
    <w:rsid w:val="321F61EC"/>
    <w:rsid w:val="32231F22"/>
    <w:rsid w:val="322E2854"/>
    <w:rsid w:val="323036BA"/>
    <w:rsid w:val="32455CE0"/>
    <w:rsid w:val="324F04DB"/>
    <w:rsid w:val="32503DFA"/>
    <w:rsid w:val="3255415E"/>
    <w:rsid w:val="32596DEE"/>
    <w:rsid w:val="32692300"/>
    <w:rsid w:val="32702FC0"/>
    <w:rsid w:val="327144B7"/>
    <w:rsid w:val="327C6A8D"/>
    <w:rsid w:val="32950684"/>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604260"/>
    <w:rsid w:val="33775E05"/>
    <w:rsid w:val="337F2716"/>
    <w:rsid w:val="338574F9"/>
    <w:rsid w:val="33A078AB"/>
    <w:rsid w:val="33A222F8"/>
    <w:rsid w:val="33A5187D"/>
    <w:rsid w:val="33B85C62"/>
    <w:rsid w:val="33B90357"/>
    <w:rsid w:val="33C3614F"/>
    <w:rsid w:val="33D62B96"/>
    <w:rsid w:val="33D90B5F"/>
    <w:rsid w:val="33E32DB1"/>
    <w:rsid w:val="33E91900"/>
    <w:rsid w:val="33FE5C2D"/>
    <w:rsid w:val="33FF7460"/>
    <w:rsid w:val="341B058D"/>
    <w:rsid w:val="344127C5"/>
    <w:rsid w:val="34526E6E"/>
    <w:rsid w:val="345B1895"/>
    <w:rsid w:val="3463085A"/>
    <w:rsid w:val="34653B2A"/>
    <w:rsid w:val="34745294"/>
    <w:rsid w:val="34746874"/>
    <w:rsid w:val="34800297"/>
    <w:rsid w:val="3485590E"/>
    <w:rsid w:val="34946C2E"/>
    <w:rsid w:val="349A6D7E"/>
    <w:rsid w:val="34A24AD6"/>
    <w:rsid w:val="34AB6505"/>
    <w:rsid w:val="34AE3A84"/>
    <w:rsid w:val="34C04708"/>
    <w:rsid w:val="34C967AE"/>
    <w:rsid w:val="34D40B6A"/>
    <w:rsid w:val="34D46D17"/>
    <w:rsid w:val="34D93189"/>
    <w:rsid w:val="34FB2B80"/>
    <w:rsid w:val="34FD5844"/>
    <w:rsid w:val="352201AD"/>
    <w:rsid w:val="35280DED"/>
    <w:rsid w:val="35463167"/>
    <w:rsid w:val="355B69FC"/>
    <w:rsid w:val="35665ADB"/>
    <w:rsid w:val="3572001E"/>
    <w:rsid w:val="357E63AE"/>
    <w:rsid w:val="35816EB9"/>
    <w:rsid w:val="35821E3D"/>
    <w:rsid w:val="35932D29"/>
    <w:rsid w:val="359F5261"/>
    <w:rsid w:val="35AD209F"/>
    <w:rsid w:val="35AD4D18"/>
    <w:rsid w:val="35B35F81"/>
    <w:rsid w:val="35BE39BF"/>
    <w:rsid w:val="35C2434B"/>
    <w:rsid w:val="35CC3248"/>
    <w:rsid w:val="35DF5798"/>
    <w:rsid w:val="35F421D8"/>
    <w:rsid w:val="35F81CC4"/>
    <w:rsid w:val="35FA7E78"/>
    <w:rsid w:val="35FE0867"/>
    <w:rsid w:val="35FE7215"/>
    <w:rsid w:val="35FF2DF2"/>
    <w:rsid w:val="36000F59"/>
    <w:rsid w:val="3600703E"/>
    <w:rsid w:val="360A456E"/>
    <w:rsid w:val="360B232F"/>
    <w:rsid w:val="360C527F"/>
    <w:rsid w:val="361D59BA"/>
    <w:rsid w:val="36243BAF"/>
    <w:rsid w:val="36247CCA"/>
    <w:rsid w:val="36280FB0"/>
    <w:rsid w:val="363122F8"/>
    <w:rsid w:val="36400759"/>
    <w:rsid w:val="364225B8"/>
    <w:rsid w:val="364B4F18"/>
    <w:rsid w:val="364C3867"/>
    <w:rsid w:val="36544E83"/>
    <w:rsid w:val="36601F32"/>
    <w:rsid w:val="367B06EC"/>
    <w:rsid w:val="368400A0"/>
    <w:rsid w:val="369769C5"/>
    <w:rsid w:val="36977349"/>
    <w:rsid w:val="36A57135"/>
    <w:rsid w:val="36AA5184"/>
    <w:rsid w:val="36AF0D32"/>
    <w:rsid w:val="36C36BDE"/>
    <w:rsid w:val="36C5070D"/>
    <w:rsid w:val="36C5766F"/>
    <w:rsid w:val="36D704F3"/>
    <w:rsid w:val="36E90250"/>
    <w:rsid w:val="36ED465C"/>
    <w:rsid w:val="36F13515"/>
    <w:rsid w:val="370058B6"/>
    <w:rsid w:val="37066B46"/>
    <w:rsid w:val="370B45F5"/>
    <w:rsid w:val="37131885"/>
    <w:rsid w:val="37556EFB"/>
    <w:rsid w:val="37634C0D"/>
    <w:rsid w:val="37635AA2"/>
    <w:rsid w:val="376D038A"/>
    <w:rsid w:val="377D4FD1"/>
    <w:rsid w:val="378D4EC4"/>
    <w:rsid w:val="379127D4"/>
    <w:rsid w:val="37B01FC8"/>
    <w:rsid w:val="37BC673A"/>
    <w:rsid w:val="37F60BEA"/>
    <w:rsid w:val="37F7211A"/>
    <w:rsid w:val="37FD2BB1"/>
    <w:rsid w:val="37FE1821"/>
    <w:rsid w:val="38115BCA"/>
    <w:rsid w:val="381D63E4"/>
    <w:rsid w:val="38241CFE"/>
    <w:rsid w:val="38244FE4"/>
    <w:rsid w:val="382E3A30"/>
    <w:rsid w:val="383C048E"/>
    <w:rsid w:val="38454C9B"/>
    <w:rsid w:val="38484E6F"/>
    <w:rsid w:val="385A5B31"/>
    <w:rsid w:val="388116C0"/>
    <w:rsid w:val="388C714F"/>
    <w:rsid w:val="38946C1E"/>
    <w:rsid w:val="38966DB9"/>
    <w:rsid w:val="38A35DF1"/>
    <w:rsid w:val="38B20894"/>
    <w:rsid w:val="38C2768F"/>
    <w:rsid w:val="38CD59A4"/>
    <w:rsid w:val="38D26167"/>
    <w:rsid w:val="38D7209B"/>
    <w:rsid w:val="38DB4455"/>
    <w:rsid w:val="38E37461"/>
    <w:rsid w:val="38E536A6"/>
    <w:rsid w:val="38E72550"/>
    <w:rsid w:val="38E76D9E"/>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825EF1"/>
    <w:rsid w:val="398636A1"/>
    <w:rsid w:val="39897949"/>
    <w:rsid w:val="399D7118"/>
    <w:rsid w:val="39A6571B"/>
    <w:rsid w:val="39BC5220"/>
    <w:rsid w:val="39BE4A47"/>
    <w:rsid w:val="39CA0125"/>
    <w:rsid w:val="39D879D3"/>
    <w:rsid w:val="39E245E4"/>
    <w:rsid w:val="39FC179E"/>
    <w:rsid w:val="3A014E17"/>
    <w:rsid w:val="3A066018"/>
    <w:rsid w:val="3A0A15FB"/>
    <w:rsid w:val="3A172B9E"/>
    <w:rsid w:val="3A27547C"/>
    <w:rsid w:val="3A3871E3"/>
    <w:rsid w:val="3A3A7BDB"/>
    <w:rsid w:val="3A3C3C45"/>
    <w:rsid w:val="3A663EB0"/>
    <w:rsid w:val="3A87071A"/>
    <w:rsid w:val="3A9B7C92"/>
    <w:rsid w:val="3AA845F2"/>
    <w:rsid w:val="3AAC76F2"/>
    <w:rsid w:val="3AAD5CAC"/>
    <w:rsid w:val="3AAF045C"/>
    <w:rsid w:val="3AD8079E"/>
    <w:rsid w:val="3AD80861"/>
    <w:rsid w:val="3AEA5500"/>
    <w:rsid w:val="3AF05E33"/>
    <w:rsid w:val="3AF1344F"/>
    <w:rsid w:val="3B1C5B19"/>
    <w:rsid w:val="3B2301BB"/>
    <w:rsid w:val="3B294F65"/>
    <w:rsid w:val="3B2C7653"/>
    <w:rsid w:val="3B362C4D"/>
    <w:rsid w:val="3B45316C"/>
    <w:rsid w:val="3B476ACD"/>
    <w:rsid w:val="3B557D87"/>
    <w:rsid w:val="3B834C9D"/>
    <w:rsid w:val="3B8631C4"/>
    <w:rsid w:val="3B937719"/>
    <w:rsid w:val="3B942B73"/>
    <w:rsid w:val="3B9674D7"/>
    <w:rsid w:val="3BA20424"/>
    <w:rsid w:val="3BAE3B93"/>
    <w:rsid w:val="3BB335AC"/>
    <w:rsid w:val="3BC165FE"/>
    <w:rsid w:val="3BD3067E"/>
    <w:rsid w:val="3BD53AB5"/>
    <w:rsid w:val="3BED2875"/>
    <w:rsid w:val="3BEF40B2"/>
    <w:rsid w:val="3BF35166"/>
    <w:rsid w:val="3BFF61D4"/>
    <w:rsid w:val="3C0104C3"/>
    <w:rsid w:val="3C054F49"/>
    <w:rsid w:val="3C1708D8"/>
    <w:rsid w:val="3C262C87"/>
    <w:rsid w:val="3C26613B"/>
    <w:rsid w:val="3C307F03"/>
    <w:rsid w:val="3C3C39A0"/>
    <w:rsid w:val="3C3E72F6"/>
    <w:rsid w:val="3C5A7EF6"/>
    <w:rsid w:val="3C5F2E1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7310"/>
    <w:rsid w:val="3D0154CA"/>
    <w:rsid w:val="3D117E02"/>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14002"/>
    <w:rsid w:val="3DE35031"/>
    <w:rsid w:val="3DEC1B94"/>
    <w:rsid w:val="3DFE15C4"/>
    <w:rsid w:val="3E127B19"/>
    <w:rsid w:val="3E2653DC"/>
    <w:rsid w:val="3E280BEF"/>
    <w:rsid w:val="3E2B50D7"/>
    <w:rsid w:val="3E327F30"/>
    <w:rsid w:val="3E330ACA"/>
    <w:rsid w:val="3E352253"/>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B1447F"/>
    <w:rsid w:val="3FC35AFC"/>
    <w:rsid w:val="3FC41983"/>
    <w:rsid w:val="3FD1414D"/>
    <w:rsid w:val="3FD81218"/>
    <w:rsid w:val="3FE86F49"/>
    <w:rsid w:val="3FF35E75"/>
    <w:rsid w:val="400479C3"/>
    <w:rsid w:val="40240F49"/>
    <w:rsid w:val="40404B79"/>
    <w:rsid w:val="40407791"/>
    <w:rsid w:val="404358BE"/>
    <w:rsid w:val="40440ADB"/>
    <w:rsid w:val="40797278"/>
    <w:rsid w:val="407C15D8"/>
    <w:rsid w:val="408E3720"/>
    <w:rsid w:val="40912007"/>
    <w:rsid w:val="4094589D"/>
    <w:rsid w:val="40996730"/>
    <w:rsid w:val="409B357D"/>
    <w:rsid w:val="409F5F96"/>
    <w:rsid w:val="40BC2DF7"/>
    <w:rsid w:val="40CE14CF"/>
    <w:rsid w:val="40CF6877"/>
    <w:rsid w:val="40E17710"/>
    <w:rsid w:val="40E31518"/>
    <w:rsid w:val="40E86C9E"/>
    <w:rsid w:val="40F347AB"/>
    <w:rsid w:val="40F83F72"/>
    <w:rsid w:val="4113082C"/>
    <w:rsid w:val="411713CA"/>
    <w:rsid w:val="411A6663"/>
    <w:rsid w:val="412D5086"/>
    <w:rsid w:val="413010DA"/>
    <w:rsid w:val="414B5216"/>
    <w:rsid w:val="416E59E3"/>
    <w:rsid w:val="417B7C4C"/>
    <w:rsid w:val="417C0DD3"/>
    <w:rsid w:val="417C4EC1"/>
    <w:rsid w:val="41A664B7"/>
    <w:rsid w:val="41B06AAF"/>
    <w:rsid w:val="41B601E7"/>
    <w:rsid w:val="41CF3C25"/>
    <w:rsid w:val="41D57DE1"/>
    <w:rsid w:val="41D82E36"/>
    <w:rsid w:val="41DF5CBF"/>
    <w:rsid w:val="41EB174A"/>
    <w:rsid w:val="41EE3F21"/>
    <w:rsid w:val="41F025CB"/>
    <w:rsid w:val="42015830"/>
    <w:rsid w:val="42204C7E"/>
    <w:rsid w:val="42226713"/>
    <w:rsid w:val="42286978"/>
    <w:rsid w:val="422B2BA1"/>
    <w:rsid w:val="4231785A"/>
    <w:rsid w:val="4235332E"/>
    <w:rsid w:val="42513ADD"/>
    <w:rsid w:val="42584818"/>
    <w:rsid w:val="42606C69"/>
    <w:rsid w:val="427E48C1"/>
    <w:rsid w:val="428D7881"/>
    <w:rsid w:val="42926048"/>
    <w:rsid w:val="429B6E22"/>
    <w:rsid w:val="429C6B61"/>
    <w:rsid w:val="42BA33B4"/>
    <w:rsid w:val="42BF4C55"/>
    <w:rsid w:val="42C02D5E"/>
    <w:rsid w:val="42C845D8"/>
    <w:rsid w:val="42F70947"/>
    <w:rsid w:val="42F91034"/>
    <w:rsid w:val="430D77C7"/>
    <w:rsid w:val="43262E27"/>
    <w:rsid w:val="433A1710"/>
    <w:rsid w:val="434841F7"/>
    <w:rsid w:val="434D6B99"/>
    <w:rsid w:val="43514383"/>
    <w:rsid w:val="43524A05"/>
    <w:rsid w:val="43655B98"/>
    <w:rsid w:val="43715C61"/>
    <w:rsid w:val="437D1A33"/>
    <w:rsid w:val="437F792B"/>
    <w:rsid w:val="43871CB4"/>
    <w:rsid w:val="43941A01"/>
    <w:rsid w:val="439828B7"/>
    <w:rsid w:val="43BE214E"/>
    <w:rsid w:val="43CD402D"/>
    <w:rsid w:val="43D40410"/>
    <w:rsid w:val="43ED298C"/>
    <w:rsid w:val="43EF2991"/>
    <w:rsid w:val="43F4696E"/>
    <w:rsid w:val="440021F6"/>
    <w:rsid w:val="442D4378"/>
    <w:rsid w:val="443127CF"/>
    <w:rsid w:val="44576235"/>
    <w:rsid w:val="44597BEE"/>
    <w:rsid w:val="44741317"/>
    <w:rsid w:val="44775260"/>
    <w:rsid w:val="447A4753"/>
    <w:rsid w:val="447A77AA"/>
    <w:rsid w:val="448231D7"/>
    <w:rsid w:val="448C7B84"/>
    <w:rsid w:val="448F7502"/>
    <w:rsid w:val="449754D1"/>
    <w:rsid w:val="449B5118"/>
    <w:rsid w:val="44A70E24"/>
    <w:rsid w:val="44BE23BB"/>
    <w:rsid w:val="44DA3A0F"/>
    <w:rsid w:val="44DD300E"/>
    <w:rsid w:val="44DE0092"/>
    <w:rsid w:val="44E2656D"/>
    <w:rsid w:val="44F11452"/>
    <w:rsid w:val="4504003A"/>
    <w:rsid w:val="45177BA4"/>
    <w:rsid w:val="451C551F"/>
    <w:rsid w:val="451F24D7"/>
    <w:rsid w:val="451F3CCA"/>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FB48CF"/>
    <w:rsid w:val="45FC3625"/>
    <w:rsid w:val="460B1E88"/>
    <w:rsid w:val="460F3903"/>
    <w:rsid w:val="461853CA"/>
    <w:rsid w:val="461C4CAD"/>
    <w:rsid w:val="461D49DF"/>
    <w:rsid w:val="462D5677"/>
    <w:rsid w:val="462D5957"/>
    <w:rsid w:val="463354F6"/>
    <w:rsid w:val="463546D0"/>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E17A4"/>
    <w:rsid w:val="46D81406"/>
    <w:rsid w:val="47050296"/>
    <w:rsid w:val="470A5361"/>
    <w:rsid w:val="47156CD7"/>
    <w:rsid w:val="471866FB"/>
    <w:rsid w:val="472022E1"/>
    <w:rsid w:val="472D3683"/>
    <w:rsid w:val="473B416A"/>
    <w:rsid w:val="473B7E9E"/>
    <w:rsid w:val="47403AF2"/>
    <w:rsid w:val="47453C8F"/>
    <w:rsid w:val="47562DE2"/>
    <w:rsid w:val="475B3378"/>
    <w:rsid w:val="4766347D"/>
    <w:rsid w:val="47715F93"/>
    <w:rsid w:val="478D4609"/>
    <w:rsid w:val="478D6A12"/>
    <w:rsid w:val="479149F3"/>
    <w:rsid w:val="47962309"/>
    <w:rsid w:val="47A05B27"/>
    <w:rsid w:val="47A151B7"/>
    <w:rsid w:val="47A170F2"/>
    <w:rsid w:val="47A32AF0"/>
    <w:rsid w:val="47AF032C"/>
    <w:rsid w:val="47B963C1"/>
    <w:rsid w:val="47BA0CEF"/>
    <w:rsid w:val="47C64382"/>
    <w:rsid w:val="47D22BE9"/>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B54923"/>
    <w:rsid w:val="48B84FB8"/>
    <w:rsid w:val="48E06989"/>
    <w:rsid w:val="48E92C88"/>
    <w:rsid w:val="48EB1D85"/>
    <w:rsid w:val="48F972E8"/>
    <w:rsid w:val="49020F8E"/>
    <w:rsid w:val="490C731D"/>
    <w:rsid w:val="49124D56"/>
    <w:rsid w:val="49326481"/>
    <w:rsid w:val="49406CB6"/>
    <w:rsid w:val="494C141C"/>
    <w:rsid w:val="4954359E"/>
    <w:rsid w:val="495C0CFA"/>
    <w:rsid w:val="49821D8D"/>
    <w:rsid w:val="4987544D"/>
    <w:rsid w:val="498B2C40"/>
    <w:rsid w:val="49A05099"/>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D4EE5"/>
    <w:rsid w:val="4A632C56"/>
    <w:rsid w:val="4A863FBD"/>
    <w:rsid w:val="4A892CB4"/>
    <w:rsid w:val="4AA927DF"/>
    <w:rsid w:val="4AB450E7"/>
    <w:rsid w:val="4ABA10FB"/>
    <w:rsid w:val="4ABD2CBE"/>
    <w:rsid w:val="4AC45461"/>
    <w:rsid w:val="4ACA49FA"/>
    <w:rsid w:val="4ACC15C6"/>
    <w:rsid w:val="4ACC17F6"/>
    <w:rsid w:val="4AD00606"/>
    <w:rsid w:val="4ADD5255"/>
    <w:rsid w:val="4AE8469B"/>
    <w:rsid w:val="4AED30D2"/>
    <w:rsid w:val="4AF05435"/>
    <w:rsid w:val="4AFA15BB"/>
    <w:rsid w:val="4AFE1C1B"/>
    <w:rsid w:val="4B213A1D"/>
    <w:rsid w:val="4B2A63DE"/>
    <w:rsid w:val="4B381C19"/>
    <w:rsid w:val="4B3E0F06"/>
    <w:rsid w:val="4B4E7BFB"/>
    <w:rsid w:val="4B503DE9"/>
    <w:rsid w:val="4B592E57"/>
    <w:rsid w:val="4B731311"/>
    <w:rsid w:val="4B7F716D"/>
    <w:rsid w:val="4B8501BC"/>
    <w:rsid w:val="4B9228EB"/>
    <w:rsid w:val="4B991EDB"/>
    <w:rsid w:val="4B9A2375"/>
    <w:rsid w:val="4BA17322"/>
    <w:rsid w:val="4BAD17E4"/>
    <w:rsid w:val="4BBD2F45"/>
    <w:rsid w:val="4BD47F62"/>
    <w:rsid w:val="4C0D0455"/>
    <w:rsid w:val="4C1F7A5B"/>
    <w:rsid w:val="4C304942"/>
    <w:rsid w:val="4C4048FC"/>
    <w:rsid w:val="4C4D35EC"/>
    <w:rsid w:val="4C4F073F"/>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86DA4"/>
    <w:rsid w:val="4D020DA5"/>
    <w:rsid w:val="4D0D52CB"/>
    <w:rsid w:val="4D120DE5"/>
    <w:rsid w:val="4D127586"/>
    <w:rsid w:val="4D2C1A77"/>
    <w:rsid w:val="4D416F8E"/>
    <w:rsid w:val="4D5142D4"/>
    <w:rsid w:val="4D566C49"/>
    <w:rsid w:val="4D6037A5"/>
    <w:rsid w:val="4D693694"/>
    <w:rsid w:val="4D743AA4"/>
    <w:rsid w:val="4D834946"/>
    <w:rsid w:val="4D993267"/>
    <w:rsid w:val="4DA1355F"/>
    <w:rsid w:val="4DA537BB"/>
    <w:rsid w:val="4DA53A8B"/>
    <w:rsid w:val="4DA62BFC"/>
    <w:rsid w:val="4DAE4BCF"/>
    <w:rsid w:val="4DBB336E"/>
    <w:rsid w:val="4DBE6815"/>
    <w:rsid w:val="4DC2611F"/>
    <w:rsid w:val="4DE72DDF"/>
    <w:rsid w:val="4DED7567"/>
    <w:rsid w:val="4DF67531"/>
    <w:rsid w:val="4DF9062B"/>
    <w:rsid w:val="4E014EF8"/>
    <w:rsid w:val="4E052000"/>
    <w:rsid w:val="4E066E93"/>
    <w:rsid w:val="4E075658"/>
    <w:rsid w:val="4E194BEF"/>
    <w:rsid w:val="4E1D7E77"/>
    <w:rsid w:val="4E236A05"/>
    <w:rsid w:val="4E264B45"/>
    <w:rsid w:val="4E3723D7"/>
    <w:rsid w:val="4E51451A"/>
    <w:rsid w:val="4E7D60BC"/>
    <w:rsid w:val="4E9B5BF1"/>
    <w:rsid w:val="4EA33B0C"/>
    <w:rsid w:val="4EDE397C"/>
    <w:rsid w:val="4EEF3623"/>
    <w:rsid w:val="4EF614BA"/>
    <w:rsid w:val="4EF62402"/>
    <w:rsid w:val="4F087D26"/>
    <w:rsid w:val="4F173315"/>
    <w:rsid w:val="4F2042AF"/>
    <w:rsid w:val="4F2435DC"/>
    <w:rsid w:val="4F35630A"/>
    <w:rsid w:val="4F362E18"/>
    <w:rsid w:val="4F497B36"/>
    <w:rsid w:val="4F540B41"/>
    <w:rsid w:val="4F547EAA"/>
    <w:rsid w:val="4F5774C1"/>
    <w:rsid w:val="4F744081"/>
    <w:rsid w:val="4F832885"/>
    <w:rsid w:val="4F9039FE"/>
    <w:rsid w:val="4FA173CE"/>
    <w:rsid w:val="4FA54FE1"/>
    <w:rsid w:val="4FAA20BA"/>
    <w:rsid w:val="4FCF5D5C"/>
    <w:rsid w:val="4FE02223"/>
    <w:rsid w:val="4FE26A79"/>
    <w:rsid w:val="500F69BB"/>
    <w:rsid w:val="50437224"/>
    <w:rsid w:val="504648BC"/>
    <w:rsid w:val="50490678"/>
    <w:rsid w:val="505162F9"/>
    <w:rsid w:val="505A512C"/>
    <w:rsid w:val="5077550F"/>
    <w:rsid w:val="5089260D"/>
    <w:rsid w:val="50895295"/>
    <w:rsid w:val="5098572F"/>
    <w:rsid w:val="50AD025B"/>
    <w:rsid w:val="50B906DF"/>
    <w:rsid w:val="50C80F42"/>
    <w:rsid w:val="50F018D3"/>
    <w:rsid w:val="50F419E6"/>
    <w:rsid w:val="50F47A17"/>
    <w:rsid w:val="51062782"/>
    <w:rsid w:val="51336612"/>
    <w:rsid w:val="513D38A6"/>
    <w:rsid w:val="51456AF4"/>
    <w:rsid w:val="515C1DCC"/>
    <w:rsid w:val="51657C34"/>
    <w:rsid w:val="51790E28"/>
    <w:rsid w:val="517C7028"/>
    <w:rsid w:val="518B673C"/>
    <w:rsid w:val="518E581B"/>
    <w:rsid w:val="51906BFC"/>
    <w:rsid w:val="519634A4"/>
    <w:rsid w:val="519B6609"/>
    <w:rsid w:val="51B1532D"/>
    <w:rsid w:val="51B858B2"/>
    <w:rsid w:val="51BE6CEC"/>
    <w:rsid w:val="51C26588"/>
    <w:rsid w:val="51D82383"/>
    <w:rsid w:val="51DE4114"/>
    <w:rsid w:val="51E110B3"/>
    <w:rsid w:val="51E31D3C"/>
    <w:rsid w:val="51E531F8"/>
    <w:rsid w:val="51F45C0D"/>
    <w:rsid w:val="51F45EC8"/>
    <w:rsid w:val="51FE2E2D"/>
    <w:rsid w:val="520A15B6"/>
    <w:rsid w:val="520F2ED4"/>
    <w:rsid w:val="521402BD"/>
    <w:rsid w:val="52152C19"/>
    <w:rsid w:val="522B39FB"/>
    <w:rsid w:val="52350DAA"/>
    <w:rsid w:val="52391E5F"/>
    <w:rsid w:val="52414E5C"/>
    <w:rsid w:val="524461BA"/>
    <w:rsid w:val="52463FBA"/>
    <w:rsid w:val="524A5D65"/>
    <w:rsid w:val="524C1BBF"/>
    <w:rsid w:val="526D0084"/>
    <w:rsid w:val="5290531B"/>
    <w:rsid w:val="529526FC"/>
    <w:rsid w:val="52A17AC6"/>
    <w:rsid w:val="52C04D72"/>
    <w:rsid w:val="52C51658"/>
    <w:rsid w:val="52CA35B0"/>
    <w:rsid w:val="52D27A41"/>
    <w:rsid w:val="52D62E46"/>
    <w:rsid w:val="52DD15C5"/>
    <w:rsid w:val="52E22B38"/>
    <w:rsid w:val="52E35650"/>
    <w:rsid w:val="52E80913"/>
    <w:rsid w:val="52F63B4F"/>
    <w:rsid w:val="53020EC2"/>
    <w:rsid w:val="53082F2C"/>
    <w:rsid w:val="53131C59"/>
    <w:rsid w:val="53286C71"/>
    <w:rsid w:val="53345BA9"/>
    <w:rsid w:val="53396085"/>
    <w:rsid w:val="533E7E95"/>
    <w:rsid w:val="535154E0"/>
    <w:rsid w:val="53670639"/>
    <w:rsid w:val="53771618"/>
    <w:rsid w:val="537C1740"/>
    <w:rsid w:val="53B84C8E"/>
    <w:rsid w:val="53BC5C65"/>
    <w:rsid w:val="53C76A1E"/>
    <w:rsid w:val="53D4151B"/>
    <w:rsid w:val="53E65701"/>
    <w:rsid w:val="53EE36FA"/>
    <w:rsid w:val="53F52A77"/>
    <w:rsid w:val="53FD5774"/>
    <w:rsid w:val="5414272D"/>
    <w:rsid w:val="5426037B"/>
    <w:rsid w:val="542E6AAF"/>
    <w:rsid w:val="543D68D9"/>
    <w:rsid w:val="54417415"/>
    <w:rsid w:val="546F7A15"/>
    <w:rsid w:val="54871B54"/>
    <w:rsid w:val="549518D3"/>
    <w:rsid w:val="549F3EDE"/>
    <w:rsid w:val="54AA3CD9"/>
    <w:rsid w:val="54B76615"/>
    <w:rsid w:val="54BE58D0"/>
    <w:rsid w:val="54C0225E"/>
    <w:rsid w:val="54C069FB"/>
    <w:rsid w:val="54C96C83"/>
    <w:rsid w:val="54D31B63"/>
    <w:rsid w:val="54DC5A62"/>
    <w:rsid w:val="54EA3219"/>
    <w:rsid w:val="550118A5"/>
    <w:rsid w:val="55051D97"/>
    <w:rsid w:val="552E3723"/>
    <w:rsid w:val="553C6F74"/>
    <w:rsid w:val="554860F4"/>
    <w:rsid w:val="55582F0D"/>
    <w:rsid w:val="557A16A0"/>
    <w:rsid w:val="558C51E2"/>
    <w:rsid w:val="559A22C4"/>
    <w:rsid w:val="559C2F3F"/>
    <w:rsid w:val="559F228F"/>
    <w:rsid w:val="55A67EE8"/>
    <w:rsid w:val="55B54251"/>
    <w:rsid w:val="55C16AC0"/>
    <w:rsid w:val="55D00DC0"/>
    <w:rsid w:val="55D12C28"/>
    <w:rsid w:val="55E8090D"/>
    <w:rsid w:val="55F4696B"/>
    <w:rsid w:val="55FA6695"/>
    <w:rsid w:val="55FD24CA"/>
    <w:rsid w:val="56060266"/>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C5307"/>
    <w:rsid w:val="56BD78CA"/>
    <w:rsid w:val="56BF5531"/>
    <w:rsid w:val="56D03A56"/>
    <w:rsid w:val="56D255DB"/>
    <w:rsid w:val="56EB3361"/>
    <w:rsid w:val="56F0102A"/>
    <w:rsid w:val="56F40954"/>
    <w:rsid w:val="56F72F30"/>
    <w:rsid w:val="570251EE"/>
    <w:rsid w:val="570D256E"/>
    <w:rsid w:val="57301450"/>
    <w:rsid w:val="573349E8"/>
    <w:rsid w:val="57350D69"/>
    <w:rsid w:val="57352DEA"/>
    <w:rsid w:val="5744368A"/>
    <w:rsid w:val="574820C5"/>
    <w:rsid w:val="574D339C"/>
    <w:rsid w:val="5753468B"/>
    <w:rsid w:val="575B3101"/>
    <w:rsid w:val="5760479D"/>
    <w:rsid w:val="576D43D6"/>
    <w:rsid w:val="57742669"/>
    <w:rsid w:val="5779650A"/>
    <w:rsid w:val="578B5876"/>
    <w:rsid w:val="57902630"/>
    <w:rsid w:val="579B08C7"/>
    <w:rsid w:val="57A01FBC"/>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B7"/>
    <w:rsid w:val="585F7B51"/>
    <w:rsid w:val="58603614"/>
    <w:rsid w:val="58615E6E"/>
    <w:rsid w:val="58635793"/>
    <w:rsid w:val="586A36EE"/>
    <w:rsid w:val="588178BF"/>
    <w:rsid w:val="588C11D6"/>
    <w:rsid w:val="58A469A7"/>
    <w:rsid w:val="58BD0992"/>
    <w:rsid w:val="58BF796A"/>
    <w:rsid w:val="58C16B43"/>
    <w:rsid w:val="58C70034"/>
    <w:rsid w:val="58EF47AD"/>
    <w:rsid w:val="59033141"/>
    <w:rsid w:val="590C08D4"/>
    <w:rsid w:val="59246060"/>
    <w:rsid w:val="592A36F8"/>
    <w:rsid w:val="59362E9D"/>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CA0DF6"/>
    <w:rsid w:val="59CD2536"/>
    <w:rsid w:val="59D05539"/>
    <w:rsid w:val="59D2025E"/>
    <w:rsid w:val="59E12D2E"/>
    <w:rsid w:val="59E140AF"/>
    <w:rsid w:val="59E56E97"/>
    <w:rsid w:val="59EE0B0E"/>
    <w:rsid w:val="59EF52ED"/>
    <w:rsid w:val="59F378E0"/>
    <w:rsid w:val="5A03208B"/>
    <w:rsid w:val="5A1B27B8"/>
    <w:rsid w:val="5A345EDF"/>
    <w:rsid w:val="5A3A7F15"/>
    <w:rsid w:val="5A41505E"/>
    <w:rsid w:val="5A5A06F5"/>
    <w:rsid w:val="5A60385B"/>
    <w:rsid w:val="5A653FA0"/>
    <w:rsid w:val="5A6843E3"/>
    <w:rsid w:val="5A773B8A"/>
    <w:rsid w:val="5A7D2646"/>
    <w:rsid w:val="5A7E5ED8"/>
    <w:rsid w:val="5A91589A"/>
    <w:rsid w:val="5A950DCB"/>
    <w:rsid w:val="5A9F6E2F"/>
    <w:rsid w:val="5AAF69CC"/>
    <w:rsid w:val="5AC608F3"/>
    <w:rsid w:val="5ACA2411"/>
    <w:rsid w:val="5AE31485"/>
    <w:rsid w:val="5AE50AE6"/>
    <w:rsid w:val="5AF626D8"/>
    <w:rsid w:val="5AF62900"/>
    <w:rsid w:val="5AFA762A"/>
    <w:rsid w:val="5AFC40F3"/>
    <w:rsid w:val="5B053218"/>
    <w:rsid w:val="5B0D46E9"/>
    <w:rsid w:val="5B106FAA"/>
    <w:rsid w:val="5B211F37"/>
    <w:rsid w:val="5B22062D"/>
    <w:rsid w:val="5B241C6D"/>
    <w:rsid w:val="5B255F5F"/>
    <w:rsid w:val="5B277C2D"/>
    <w:rsid w:val="5B2A6DA0"/>
    <w:rsid w:val="5B2B355B"/>
    <w:rsid w:val="5B3E3090"/>
    <w:rsid w:val="5B413ED9"/>
    <w:rsid w:val="5B6A1750"/>
    <w:rsid w:val="5B736DFC"/>
    <w:rsid w:val="5B74248A"/>
    <w:rsid w:val="5B7C3A7D"/>
    <w:rsid w:val="5B8675CA"/>
    <w:rsid w:val="5B873273"/>
    <w:rsid w:val="5B8F4FC4"/>
    <w:rsid w:val="5BA45C49"/>
    <w:rsid w:val="5BA652CD"/>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5707D2"/>
    <w:rsid w:val="5C5C59BB"/>
    <w:rsid w:val="5C6A1E8C"/>
    <w:rsid w:val="5C6F3AA2"/>
    <w:rsid w:val="5C762A1F"/>
    <w:rsid w:val="5C7A3862"/>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D047EE8"/>
    <w:rsid w:val="5D110C61"/>
    <w:rsid w:val="5D1157A6"/>
    <w:rsid w:val="5D126228"/>
    <w:rsid w:val="5D1949C1"/>
    <w:rsid w:val="5D1B0F43"/>
    <w:rsid w:val="5D1F3C0E"/>
    <w:rsid w:val="5D204456"/>
    <w:rsid w:val="5D3734F1"/>
    <w:rsid w:val="5D3A42DC"/>
    <w:rsid w:val="5D423265"/>
    <w:rsid w:val="5D4C146E"/>
    <w:rsid w:val="5D7F6363"/>
    <w:rsid w:val="5D9A4008"/>
    <w:rsid w:val="5DA373AD"/>
    <w:rsid w:val="5DCE771F"/>
    <w:rsid w:val="5DD3556C"/>
    <w:rsid w:val="5DD81E67"/>
    <w:rsid w:val="5DE6704B"/>
    <w:rsid w:val="5DEC3B70"/>
    <w:rsid w:val="5DF63B79"/>
    <w:rsid w:val="5DF84369"/>
    <w:rsid w:val="5DF92DCB"/>
    <w:rsid w:val="5E091FB5"/>
    <w:rsid w:val="5E177160"/>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75E1B"/>
    <w:rsid w:val="5EC56393"/>
    <w:rsid w:val="5ECF2323"/>
    <w:rsid w:val="5EDC21AD"/>
    <w:rsid w:val="5EF011FF"/>
    <w:rsid w:val="5EF078DD"/>
    <w:rsid w:val="5EF16AB5"/>
    <w:rsid w:val="5EF62DCD"/>
    <w:rsid w:val="5EF82FA9"/>
    <w:rsid w:val="5EFB0071"/>
    <w:rsid w:val="5EFE34A1"/>
    <w:rsid w:val="5F0E4F9F"/>
    <w:rsid w:val="5F173FD8"/>
    <w:rsid w:val="5F1C6EB0"/>
    <w:rsid w:val="5F3262F4"/>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D9462B"/>
    <w:rsid w:val="5FDF17E3"/>
    <w:rsid w:val="5FE061B9"/>
    <w:rsid w:val="5FEB5761"/>
    <w:rsid w:val="5FFB6305"/>
    <w:rsid w:val="60011320"/>
    <w:rsid w:val="60216D06"/>
    <w:rsid w:val="60267D5D"/>
    <w:rsid w:val="602C3DFF"/>
    <w:rsid w:val="604100BA"/>
    <w:rsid w:val="6057025C"/>
    <w:rsid w:val="606F133D"/>
    <w:rsid w:val="60785DC5"/>
    <w:rsid w:val="607B07D5"/>
    <w:rsid w:val="60882865"/>
    <w:rsid w:val="60916901"/>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BA5EFD"/>
    <w:rsid w:val="61C07581"/>
    <w:rsid w:val="61C7660C"/>
    <w:rsid w:val="61D81BE2"/>
    <w:rsid w:val="61D95419"/>
    <w:rsid w:val="61E93AD6"/>
    <w:rsid w:val="61F06D8B"/>
    <w:rsid w:val="620100B1"/>
    <w:rsid w:val="62143B18"/>
    <w:rsid w:val="62190F45"/>
    <w:rsid w:val="62193B80"/>
    <w:rsid w:val="621B4181"/>
    <w:rsid w:val="62216BE1"/>
    <w:rsid w:val="62351ACB"/>
    <w:rsid w:val="62353B47"/>
    <w:rsid w:val="623B3B7F"/>
    <w:rsid w:val="624076D6"/>
    <w:rsid w:val="62511DE0"/>
    <w:rsid w:val="62565A29"/>
    <w:rsid w:val="628C53F9"/>
    <w:rsid w:val="62937829"/>
    <w:rsid w:val="629E2BD8"/>
    <w:rsid w:val="62A20B07"/>
    <w:rsid w:val="62A414E0"/>
    <w:rsid w:val="62BA5904"/>
    <w:rsid w:val="62CC77CB"/>
    <w:rsid w:val="62E7631E"/>
    <w:rsid w:val="62F3784F"/>
    <w:rsid w:val="62F41404"/>
    <w:rsid w:val="62FF3FB5"/>
    <w:rsid w:val="63021DE2"/>
    <w:rsid w:val="6303037E"/>
    <w:rsid w:val="63112339"/>
    <w:rsid w:val="63261098"/>
    <w:rsid w:val="632C21E9"/>
    <w:rsid w:val="632C2662"/>
    <w:rsid w:val="633A0F04"/>
    <w:rsid w:val="6340127C"/>
    <w:rsid w:val="63402FDE"/>
    <w:rsid w:val="63441C9E"/>
    <w:rsid w:val="63502143"/>
    <w:rsid w:val="63654FE0"/>
    <w:rsid w:val="63681104"/>
    <w:rsid w:val="636E7A2E"/>
    <w:rsid w:val="636F7748"/>
    <w:rsid w:val="639521BB"/>
    <w:rsid w:val="63A50D4E"/>
    <w:rsid w:val="63AA5332"/>
    <w:rsid w:val="63B94E8E"/>
    <w:rsid w:val="63C61233"/>
    <w:rsid w:val="63E257EE"/>
    <w:rsid w:val="63FF6AFB"/>
    <w:rsid w:val="64031E7C"/>
    <w:rsid w:val="64031F3E"/>
    <w:rsid w:val="640754EE"/>
    <w:rsid w:val="64075518"/>
    <w:rsid w:val="64142736"/>
    <w:rsid w:val="641B076E"/>
    <w:rsid w:val="642A2A58"/>
    <w:rsid w:val="64313238"/>
    <w:rsid w:val="64391A57"/>
    <w:rsid w:val="6447072E"/>
    <w:rsid w:val="64585109"/>
    <w:rsid w:val="645F7031"/>
    <w:rsid w:val="647843F1"/>
    <w:rsid w:val="64881679"/>
    <w:rsid w:val="6496214C"/>
    <w:rsid w:val="649F7EFD"/>
    <w:rsid w:val="64A445FB"/>
    <w:rsid w:val="64A67ACD"/>
    <w:rsid w:val="64B23DB4"/>
    <w:rsid w:val="64B55A95"/>
    <w:rsid w:val="64B64B66"/>
    <w:rsid w:val="64B86E2A"/>
    <w:rsid w:val="64C12A40"/>
    <w:rsid w:val="64C15487"/>
    <w:rsid w:val="64C51685"/>
    <w:rsid w:val="64CB6A3A"/>
    <w:rsid w:val="64DA579E"/>
    <w:rsid w:val="64E51E54"/>
    <w:rsid w:val="64FF56F8"/>
    <w:rsid w:val="6507095D"/>
    <w:rsid w:val="65137300"/>
    <w:rsid w:val="6526740F"/>
    <w:rsid w:val="652C605C"/>
    <w:rsid w:val="652D179A"/>
    <w:rsid w:val="65355BC5"/>
    <w:rsid w:val="653A4CCE"/>
    <w:rsid w:val="6543518D"/>
    <w:rsid w:val="65525F37"/>
    <w:rsid w:val="6556674F"/>
    <w:rsid w:val="655F0FD4"/>
    <w:rsid w:val="655F2B6C"/>
    <w:rsid w:val="657E7D7E"/>
    <w:rsid w:val="65862CD9"/>
    <w:rsid w:val="6588686F"/>
    <w:rsid w:val="65975663"/>
    <w:rsid w:val="659E46D8"/>
    <w:rsid w:val="65A57048"/>
    <w:rsid w:val="65A73F8D"/>
    <w:rsid w:val="65B50E5A"/>
    <w:rsid w:val="65C3556B"/>
    <w:rsid w:val="65C67D97"/>
    <w:rsid w:val="65D54781"/>
    <w:rsid w:val="660867AF"/>
    <w:rsid w:val="662029CE"/>
    <w:rsid w:val="66223545"/>
    <w:rsid w:val="66236F50"/>
    <w:rsid w:val="662D27C6"/>
    <w:rsid w:val="66452970"/>
    <w:rsid w:val="66452FE9"/>
    <w:rsid w:val="664C2357"/>
    <w:rsid w:val="668D7DF1"/>
    <w:rsid w:val="6697143C"/>
    <w:rsid w:val="669A4AE7"/>
    <w:rsid w:val="66AB7EE5"/>
    <w:rsid w:val="66BE1FC5"/>
    <w:rsid w:val="66C92D41"/>
    <w:rsid w:val="66D04B5E"/>
    <w:rsid w:val="66D60DB1"/>
    <w:rsid w:val="66DD40E8"/>
    <w:rsid w:val="66E561D8"/>
    <w:rsid w:val="66F00AF0"/>
    <w:rsid w:val="6700750E"/>
    <w:rsid w:val="6706007D"/>
    <w:rsid w:val="670F560C"/>
    <w:rsid w:val="67487CFE"/>
    <w:rsid w:val="675670C7"/>
    <w:rsid w:val="67580868"/>
    <w:rsid w:val="67610EFA"/>
    <w:rsid w:val="67613074"/>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C2BE7"/>
    <w:rsid w:val="67FD6528"/>
    <w:rsid w:val="68091997"/>
    <w:rsid w:val="680D19BB"/>
    <w:rsid w:val="6815717B"/>
    <w:rsid w:val="681A46E7"/>
    <w:rsid w:val="681B7F08"/>
    <w:rsid w:val="68221A8C"/>
    <w:rsid w:val="68347A35"/>
    <w:rsid w:val="683C6010"/>
    <w:rsid w:val="68446D9B"/>
    <w:rsid w:val="684D6D87"/>
    <w:rsid w:val="684F6446"/>
    <w:rsid w:val="685036D0"/>
    <w:rsid w:val="68525B9B"/>
    <w:rsid w:val="685F07CE"/>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C01EC"/>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948"/>
    <w:rsid w:val="69EF5EEB"/>
    <w:rsid w:val="69F22996"/>
    <w:rsid w:val="69FD45AC"/>
    <w:rsid w:val="69FF1849"/>
    <w:rsid w:val="6A0C6539"/>
    <w:rsid w:val="6A1B53E0"/>
    <w:rsid w:val="6A2826A1"/>
    <w:rsid w:val="6A3431B8"/>
    <w:rsid w:val="6A551347"/>
    <w:rsid w:val="6A5660EE"/>
    <w:rsid w:val="6A5D1911"/>
    <w:rsid w:val="6A5F0530"/>
    <w:rsid w:val="6A621215"/>
    <w:rsid w:val="6A653282"/>
    <w:rsid w:val="6A9635F7"/>
    <w:rsid w:val="6A9F3407"/>
    <w:rsid w:val="6AA45AEE"/>
    <w:rsid w:val="6AAA05A9"/>
    <w:rsid w:val="6AD5630A"/>
    <w:rsid w:val="6AE60241"/>
    <w:rsid w:val="6AE60B4C"/>
    <w:rsid w:val="6AF93C50"/>
    <w:rsid w:val="6B0E0011"/>
    <w:rsid w:val="6B113D9E"/>
    <w:rsid w:val="6B28697A"/>
    <w:rsid w:val="6B3529D0"/>
    <w:rsid w:val="6B3611E8"/>
    <w:rsid w:val="6B3C6A10"/>
    <w:rsid w:val="6B3D3D48"/>
    <w:rsid w:val="6B5B3158"/>
    <w:rsid w:val="6B726A7C"/>
    <w:rsid w:val="6B7E05B9"/>
    <w:rsid w:val="6B8329CB"/>
    <w:rsid w:val="6B8833D8"/>
    <w:rsid w:val="6B8902B7"/>
    <w:rsid w:val="6B99288B"/>
    <w:rsid w:val="6BA832B8"/>
    <w:rsid w:val="6BB54A7D"/>
    <w:rsid w:val="6BBA5C26"/>
    <w:rsid w:val="6BC644EC"/>
    <w:rsid w:val="6BDB04B6"/>
    <w:rsid w:val="6BE963BE"/>
    <w:rsid w:val="6C010A69"/>
    <w:rsid w:val="6C0F365E"/>
    <w:rsid w:val="6C146C44"/>
    <w:rsid w:val="6C201C7F"/>
    <w:rsid w:val="6C2E2CA9"/>
    <w:rsid w:val="6C33536D"/>
    <w:rsid w:val="6C3E3641"/>
    <w:rsid w:val="6C3E4B74"/>
    <w:rsid w:val="6C4E0148"/>
    <w:rsid w:val="6C517C19"/>
    <w:rsid w:val="6C547454"/>
    <w:rsid w:val="6C5648D5"/>
    <w:rsid w:val="6C59110F"/>
    <w:rsid w:val="6C740601"/>
    <w:rsid w:val="6C842DAB"/>
    <w:rsid w:val="6C891DED"/>
    <w:rsid w:val="6C8A5474"/>
    <w:rsid w:val="6C8E67BB"/>
    <w:rsid w:val="6CD011C1"/>
    <w:rsid w:val="6CD85C69"/>
    <w:rsid w:val="6CDB73D6"/>
    <w:rsid w:val="6CED673D"/>
    <w:rsid w:val="6D073456"/>
    <w:rsid w:val="6D0C4FFA"/>
    <w:rsid w:val="6D127962"/>
    <w:rsid w:val="6D1413A4"/>
    <w:rsid w:val="6D3231DF"/>
    <w:rsid w:val="6D3B3522"/>
    <w:rsid w:val="6D464DCC"/>
    <w:rsid w:val="6D501553"/>
    <w:rsid w:val="6D616216"/>
    <w:rsid w:val="6D652808"/>
    <w:rsid w:val="6D693545"/>
    <w:rsid w:val="6D6F64BD"/>
    <w:rsid w:val="6D774B55"/>
    <w:rsid w:val="6D8C513A"/>
    <w:rsid w:val="6D8D1511"/>
    <w:rsid w:val="6D932C97"/>
    <w:rsid w:val="6D975823"/>
    <w:rsid w:val="6DA225C5"/>
    <w:rsid w:val="6DB530E5"/>
    <w:rsid w:val="6DB630F7"/>
    <w:rsid w:val="6DB63E2B"/>
    <w:rsid w:val="6DBF57D4"/>
    <w:rsid w:val="6DD6353E"/>
    <w:rsid w:val="6DD73369"/>
    <w:rsid w:val="6DDE346B"/>
    <w:rsid w:val="6DDE390C"/>
    <w:rsid w:val="6DE77496"/>
    <w:rsid w:val="6E04099A"/>
    <w:rsid w:val="6E0E61FC"/>
    <w:rsid w:val="6E1C0830"/>
    <w:rsid w:val="6E3101C1"/>
    <w:rsid w:val="6E3524CA"/>
    <w:rsid w:val="6E413951"/>
    <w:rsid w:val="6E451A64"/>
    <w:rsid w:val="6E58598C"/>
    <w:rsid w:val="6E67698D"/>
    <w:rsid w:val="6E6839F7"/>
    <w:rsid w:val="6E733F82"/>
    <w:rsid w:val="6E7F11CF"/>
    <w:rsid w:val="6E7F7825"/>
    <w:rsid w:val="6E874489"/>
    <w:rsid w:val="6E960A52"/>
    <w:rsid w:val="6EA0744D"/>
    <w:rsid w:val="6EA3291D"/>
    <w:rsid w:val="6EA67504"/>
    <w:rsid w:val="6EAC089F"/>
    <w:rsid w:val="6EDD75A0"/>
    <w:rsid w:val="6EE73EE7"/>
    <w:rsid w:val="6EFE5FE0"/>
    <w:rsid w:val="6F0D2298"/>
    <w:rsid w:val="6F141C04"/>
    <w:rsid w:val="6F145E1F"/>
    <w:rsid w:val="6F222BC6"/>
    <w:rsid w:val="6F276C23"/>
    <w:rsid w:val="6F37324B"/>
    <w:rsid w:val="6F373EA5"/>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D071A2"/>
    <w:rsid w:val="6FD57D31"/>
    <w:rsid w:val="6FD969D9"/>
    <w:rsid w:val="6FDB7B65"/>
    <w:rsid w:val="6FDF42CC"/>
    <w:rsid w:val="700A32D4"/>
    <w:rsid w:val="70131EEE"/>
    <w:rsid w:val="70143D7F"/>
    <w:rsid w:val="701B43F3"/>
    <w:rsid w:val="70394E16"/>
    <w:rsid w:val="703B2856"/>
    <w:rsid w:val="704D1DD9"/>
    <w:rsid w:val="70512274"/>
    <w:rsid w:val="707136A0"/>
    <w:rsid w:val="7071512F"/>
    <w:rsid w:val="70727776"/>
    <w:rsid w:val="70836044"/>
    <w:rsid w:val="70945DFE"/>
    <w:rsid w:val="70963635"/>
    <w:rsid w:val="709E757C"/>
    <w:rsid w:val="70A81FF7"/>
    <w:rsid w:val="70AB6982"/>
    <w:rsid w:val="70B960E4"/>
    <w:rsid w:val="70BA3201"/>
    <w:rsid w:val="70BD0161"/>
    <w:rsid w:val="70C3128F"/>
    <w:rsid w:val="70C64CF5"/>
    <w:rsid w:val="70CE2945"/>
    <w:rsid w:val="70E03E42"/>
    <w:rsid w:val="70E60700"/>
    <w:rsid w:val="710003A8"/>
    <w:rsid w:val="710330C0"/>
    <w:rsid w:val="710376A0"/>
    <w:rsid w:val="710F0BB8"/>
    <w:rsid w:val="71194261"/>
    <w:rsid w:val="711C5BB5"/>
    <w:rsid w:val="712460F7"/>
    <w:rsid w:val="7126442B"/>
    <w:rsid w:val="71375D39"/>
    <w:rsid w:val="7139673C"/>
    <w:rsid w:val="713D094E"/>
    <w:rsid w:val="7144689C"/>
    <w:rsid w:val="714872A8"/>
    <w:rsid w:val="717E22AA"/>
    <w:rsid w:val="717E5F2F"/>
    <w:rsid w:val="71827A7B"/>
    <w:rsid w:val="71885178"/>
    <w:rsid w:val="718B15C7"/>
    <w:rsid w:val="71B2274D"/>
    <w:rsid w:val="71BF4E45"/>
    <w:rsid w:val="71C20258"/>
    <w:rsid w:val="71C43B20"/>
    <w:rsid w:val="71CC7EBE"/>
    <w:rsid w:val="71D20555"/>
    <w:rsid w:val="71DA77B8"/>
    <w:rsid w:val="71E216E7"/>
    <w:rsid w:val="71EA67D9"/>
    <w:rsid w:val="71F62720"/>
    <w:rsid w:val="72191D91"/>
    <w:rsid w:val="721F6459"/>
    <w:rsid w:val="722766A6"/>
    <w:rsid w:val="722D1EA5"/>
    <w:rsid w:val="72312C6E"/>
    <w:rsid w:val="72355C90"/>
    <w:rsid w:val="72370EF3"/>
    <w:rsid w:val="723D4E37"/>
    <w:rsid w:val="723E1C2C"/>
    <w:rsid w:val="72464C25"/>
    <w:rsid w:val="724A0B59"/>
    <w:rsid w:val="724B3C7A"/>
    <w:rsid w:val="72522107"/>
    <w:rsid w:val="7258227F"/>
    <w:rsid w:val="726542C5"/>
    <w:rsid w:val="72713F85"/>
    <w:rsid w:val="72725AF0"/>
    <w:rsid w:val="727A0CBC"/>
    <w:rsid w:val="727E25B6"/>
    <w:rsid w:val="72931EAF"/>
    <w:rsid w:val="72963B15"/>
    <w:rsid w:val="729B43C7"/>
    <w:rsid w:val="729B556A"/>
    <w:rsid w:val="72A264DB"/>
    <w:rsid w:val="72AA2B66"/>
    <w:rsid w:val="72AE0542"/>
    <w:rsid w:val="72BD48D1"/>
    <w:rsid w:val="72C65D78"/>
    <w:rsid w:val="72D7336E"/>
    <w:rsid w:val="72F21234"/>
    <w:rsid w:val="72FD0906"/>
    <w:rsid w:val="7313580C"/>
    <w:rsid w:val="73300890"/>
    <w:rsid w:val="73314F4B"/>
    <w:rsid w:val="7339443F"/>
    <w:rsid w:val="733B5396"/>
    <w:rsid w:val="7350138A"/>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30134"/>
    <w:rsid w:val="745120AE"/>
    <w:rsid w:val="745F4062"/>
    <w:rsid w:val="748A1B2C"/>
    <w:rsid w:val="74937DAD"/>
    <w:rsid w:val="74A16504"/>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5A639D"/>
    <w:rsid w:val="755E6DA1"/>
    <w:rsid w:val="75612341"/>
    <w:rsid w:val="756F6041"/>
    <w:rsid w:val="75882465"/>
    <w:rsid w:val="75913AD5"/>
    <w:rsid w:val="759C1644"/>
    <w:rsid w:val="75A00840"/>
    <w:rsid w:val="75AB03F6"/>
    <w:rsid w:val="75BF0CCB"/>
    <w:rsid w:val="75C55943"/>
    <w:rsid w:val="75CA48E7"/>
    <w:rsid w:val="75E027FD"/>
    <w:rsid w:val="75E738EA"/>
    <w:rsid w:val="75E85E32"/>
    <w:rsid w:val="75F52389"/>
    <w:rsid w:val="76156475"/>
    <w:rsid w:val="761C37B5"/>
    <w:rsid w:val="76351D9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474684"/>
    <w:rsid w:val="775666E2"/>
    <w:rsid w:val="77653ACC"/>
    <w:rsid w:val="77656F91"/>
    <w:rsid w:val="77747DD3"/>
    <w:rsid w:val="77A06CCB"/>
    <w:rsid w:val="77A565E6"/>
    <w:rsid w:val="77A82770"/>
    <w:rsid w:val="77A865AB"/>
    <w:rsid w:val="77B305B5"/>
    <w:rsid w:val="77BD4BE4"/>
    <w:rsid w:val="77BD7E72"/>
    <w:rsid w:val="77C9487D"/>
    <w:rsid w:val="77D64A50"/>
    <w:rsid w:val="77D75DD4"/>
    <w:rsid w:val="77E41A42"/>
    <w:rsid w:val="77ED0386"/>
    <w:rsid w:val="77F72469"/>
    <w:rsid w:val="77F854D4"/>
    <w:rsid w:val="78065036"/>
    <w:rsid w:val="780D5CB6"/>
    <w:rsid w:val="780E4529"/>
    <w:rsid w:val="78210FCF"/>
    <w:rsid w:val="78237F61"/>
    <w:rsid w:val="78366B8C"/>
    <w:rsid w:val="783B287A"/>
    <w:rsid w:val="78482C69"/>
    <w:rsid w:val="78552B9A"/>
    <w:rsid w:val="785B15AC"/>
    <w:rsid w:val="785E7689"/>
    <w:rsid w:val="78600E71"/>
    <w:rsid w:val="788249B9"/>
    <w:rsid w:val="788627CD"/>
    <w:rsid w:val="78886D15"/>
    <w:rsid w:val="789E1CE4"/>
    <w:rsid w:val="78B2035E"/>
    <w:rsid w:val="78B43B82"/>
    <w:rsid w:val="78B57D9C"/>
    <w:rsid w:val="78BB76EA"/>
    <w:rsid w:val="78D400AC"/>
    <w:rsid w:val="78E26C73"/>
    <w:rsid w:val="78E76B0F"/>
    <w:rsid w:val="78F65C61"/>
    <w:rsid w:val="78FA523C"/>
    <w:rsid w:val="78FB1BD1"/>
    <w:rsid w:val="79213328"/>
    <w:rsid w:val="79421AE5"/>
    <w:rsid w:val="794D3A79"/>
    <w:rsid w:val="7964511F"/>
    <w:rsid w:val="79824E81"/>
    <w:rsid w:val="79850D4D"/>
    <w:rsid w:val="79956A1C"/>
    <w:rsid w:val="799B2468"/>
    <w:rsid w:val="799E7491"/>
    <w:rsid w:val="799F3F47"/>
    <w:rsid w:val="79A72484"/>
    <w:rsid w:val="79BA471D"/>
    <w:rsid w:val="79BB5F41"/>
    <w:rsid w:val="79C47FC2"/>
    <w:rsid w:val="79CB24E1"/>
    <w:rsid w:val="79DF005F"/>
    <w:rsid w:val="79E028EC"/>
    <w:rsid w:val="79F76C9A"/>
    <w:rsid w:val="79FC472A"/>
    <w:rsid w:val="7A114E8A"/>
    <w:rsid w:val="7A1C5B1C"/>
    <w:rsid w:val="7A1D47F9"/>
    <w:rsid w:val="7A1E195B"/>
    <w:rsid w:val="7A200379"/>
    <w:rsid w:val="7A233119"/>
    <w:rsid w:val="7A2D6C9D"/>
    <w:rsid w:val="7A43346E"/>
    <w:rsid w:val="7A4653BA"/>
    <w:rsid w:val="7A765EEC"/>
    <w:rsid w:val="7A773B5D"/>
    <w:rsid w:val="7A790CA9"/>
    <w:rsid w:val="7A8C0104"/>
    <w:rsid w:val="7A8C247F"/>
    <w:rsid w:val="7AB0523D"/>
    <w:rsid w:val="7AB83F1D"/>
    <w:rsid w:val="7ABA06A6"/>
    <w:rsid w:val="7AC73935"/>
    <w:rsid w:val="7ACC04C2"/>
    <w:rsid w:val="7AD234FC"/>
    <w:rsid w:val="7AD86C9B"/>
    <w:rsid w:val="7ADD6AF4"/>
    <w:rsid w:val="7AE05DA1"/>
    <w:rsid w:val="7AE2061C"/>
    <w:rsid w:val="7AF937F5"/>
    <w:rsid w:val="7B002131"/>
    <w:rsid w:val="7B0864F6"/>
    <w:rsid w:val="7B0932DE"/>
    <w:rsid w:val="7B134040"/>
    <w:rsid w:val="7B153818"/>
    <w:rsid w:val="7B1B16D3"/>
    <w:rsid w:val="7B2A35A9"/>
    <w:rsid w:val="7B2E6780"/>
    <w:rsid w:val="7B517D5F"/>
    <w:rsid w:val="7B5D217A"/>
    <w:rsid w:val="7B614801"/>
    <w:rsid w:val="7B684A54"/>
    <w:rsid w:val="7B6E29B2"/>
    <w:rsid w:val="7B833CC0"/>
    <w:rsid w:val="7B913B86"/>
    <w:rsid w:val="7B97422A"/>
    <w:rsid w:val="7BA969F0"/>
    <w:rsid w:val="7BB31B68"/>
    <w:rsid w:val="7BC52236"/>
    <w:rsid w:val="7BC84FD2"/>
    <w:rsid w:val="7BCB31C0"/>
    <w:rsid w:val="7BDB19C4"/>
    <w:rsid w:val="7BDC6155"/>
    <w:rsid w:val="7BE1477C"/>
    <w:rsid w:val="7C071C5F"/>
    <w:rsid w:val="7C1311BA"/>
    <w:rsid w:val="7C194469"/>
    <w:rsid w:val="7C1A6CD5"/>
    <w:rsid w:val="7C2630F4"/>
    <w:rsid w:val="7C28176B"/>
    <w:rsid w:val="7C3A066B"/>
    <w:rsid w:val="7C45471C"/>
    <w:rsid w:val="7C7354E1"/>
    <w:rsid w:val="7C773FB5"/>
    <w:rsid w:val="7C7E27D3"/>
    <w:rsid w:val="7C7F3629"/>
    <w:rsid w:val="7C8B7A6D"/>
    <w:rsid w:val="7C90110D"/>
    <w:rsid w:val="7C90620C"/>
    <w:rsid w:val="7C9B6AF6"/>
    <w:rsid w:val="7CA004DF"/>
    <w:rsid w:val="7CA34622"/>
    <w:rsid w:val="7CC90590"/>
    <w:rsid w:val="7CF11A09"/>
    <w:rsid w:val="7D2A6646"/>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9A4BF4"/>
    <w:rsid w:val="7D9C2E79"/>
    <w:rsid w:val="7DAA0918"/>
    <w:rsid w:val="7DB838C8"/>
    <w:rsid w:val="7DC23C3E"/>
    <w:rsid w:val="7DCA5633"/>
    <w:rsid w:val="7DF31684"/>
    <w:rsid w:val="7DF46E1B"/>
    <w:rsid w:val="7DFE66C3"/>
    <w:rsid w:val="7E0464CE"/>
    <w:rsid w:val="7E1976B5"/>
    <w:rsid w:val="7E202324"/>
    <w:rsid w:val="7E2C2660"/>
    <w:rsid w:val="7E450ECB"/>
    <w:rsid w:val="7E476D34"/>
    <w:rsid w:val="7E48774E"/>
    <w:rsid w:val="7E591586"/>
    <w:rsid w:val="7E6D6DAE"/>
    <w:rsid w:val="7E6F3FB2"/>
    <w:rsid w:val="7E8A4D65"/>
    <w:rsid w:val="7E8A54C9"/>
    <w:rsid w:val="7E957586"/>
    <w:rsid w:val="7E9B11AA"/>
    <w:rsid w:val="7EA32AD0"/>
    <w:rsid w:val="7EAF2602"/>
    <w:rsid w:val="7EC826AD"/>
    <w:rsid w:val="7ED55007"/>
    <w:rsid w:val="7ED953E3"/>
    <w:rsid w:val="7EDC0092"/>
    <w:rsid w:val="7EF05C7E"/>
    <w:rsid w:val="7EF765D0"/>
    <w:rsid w:val="7EF766B2"/>
    <w:rsid w:val="7EF87C96"/>
    <w:rsid w:val="7F020969"/>
    <w:rsid w:val="7F086927"/>
    <w:rsid w:val="7F1C0812"/>
    <w:rsid w:val="7F215D8A"/>
    <w:rsid w:val="7F301B1E"/>
    <w:rsid w:val="7F375D0A"/>
    <w:rsid w:val="7F384F8C"/>
    <w:rsid w:val="7F500CBA"/>
    <w:rsid w:val="7F547B11"/>
    <w:rsid w:val="7F587DE1"/>
    <w:rsid w:val="7F61016D"/>
    <w:rsid w:val="7F6D28E2"/>
    <w:rsid w:val="7F820D78"/>
    <w:rsid w:val="7F8720EC"/>
    <w:rsid w:val="7F935AA2"/>
    <w:rsid w:val="7FA51E6D"/>
    <w:rsid w:val="7FB545B0"/>
    <w:rsid w:val="7FC53F5E"/>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76" w:lineRule="auto"/>
      <w:jc w:val="both"/>
    </w:pPr>
    <w:rPr>
      <w:rFonts w:ascii="Times New Roman" w:hAnsi="Times New Roman" w:eastAsia="宋体" w:cs="Times New Roman"/>
      <w:szCs w:val="22"/>
      <w:lang w:val="en-US" w:eastAsia="zh-CN" w:bidi="ar-SA"/>
    </w:rPr>
  </w:style>
  <w:style w:type="paragraph" w:styleId="2">
    <w:name w:val="heading 1"/>
    <w:basedOn w:val="1"/>
    <w:next w:val="1"/>
    <w:link w:val="36"/>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7"/>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pPr>
    <w:rPr>
      <w:kern w:val="2"/>
      <w:sz w:val="21"/>
      <w:szCs w:val="20"/>
    </w:rPr>
  </w:style>
  <w:style w:type="paragraph" w:styleId="12">
    <w:name w:val="caption"/>
    <w:basedOn w:val="1"/>
    <w:next w:val="1"/>
    <w:link w:val="47"/>
    <w:qFormat/>
    <w:uiPriority w:val="0"/>
    <w:pPr>
      <w:tabs>
        <w:tab w:val="left" w:pos="1418"/>
      </w:tabs>
      <w:spacing w:line="240" w:lineRule="auto"/>
    </w:pPr>
    <w:rPr>
      <w:b/>
      <w:bCs/>
      <w:szCs w:val="20"/>
      <w:lang w:val="en-GB" w:eastAsia="sv-SE"/>
    </w:rPr>
  </w:style>
  <w:style w:type="paragraph" w:styleId="13">
    <w:name w:val="Document Map"/>
    <w:basedOn w:val="1"/>
    <w:link w:val="59"/>
    <w:unhideWhenUsed/>
    <w:qFormat/>
    <w:uiPriority w:val="99"/>
    <w:rPr>
      <w:rFonts w:ascii="宋体"/>
      <w:sz w:val="18"/>
      <w:szCs w:val="18"/>
    </w:rPr>
  </w:style>
  <w:style w:type="paragraph" w:styleId="14">
    <w:name w:val="annotation text"/>
    <w:basedOn w:val="1"/>
    <w:link w:val="52"/>
    <w:unhideWhenUsed/>
    <w:qFormat/>
    <w:uiPriority w:val="0"/>
    <w:rPr>
      <w:szCs w:val="20"/>
    </w:rPr>
  </w:style>
  <w:style w:type="paragraph" w:styleId="15">
    <w:name w:val="Body Text"/>
    <w:basedOn w:val="1"/>
    <w:link w:val="53"/>
    <w:qFormat/>
    <w:uiPriority w:val="0"/>
    <w:pPr>
      <w:widowControl w:val="0"/>
      <w:spacing w:after="0" w:line="240" w:lineRule="auto"/>
    </w:pPr>
    <w:rPr>
      <w:color w:val="0000FF"/>
      <w:kern w:val="2"/>
      <w:sz w:val="21"/>
      <w:szCs w:val="20"/>
    </w:rPr>
  </w:style>
  <w:style w:type="paragraph" w:styleId="16">
    <w:name w:val="Date"/>
    <w:basedOn w:val="1"/>
    <w:next w:val="1"/>
    <w:link w:val="132"/>
    <w:semiHidden/>
    <w:unhideWhenUsed/>
    <w:qFormat/>
    <w:uiPriority w:val="99"/>
    <w:pPr>
      <w:ind w:left="100" w:leftChars="2500"/>
    </w:pPr>
  </w:style>
  <w:style w:type="paragraph" w:styleId="17">
    <w:name w:val="Balloon Text"/>
    <w:basedOn w:val="1"/>
    <w:link w:val="35"/>
    <w:unhideWhenUsed/>
    <w:qFormat/>
    <w:uiPriority w:val="99"/>
    <w:pPr>
      <w:spacing w:after="0" w:line="240" w:lineRule="auto"/>
    </w:pPr>
    <w:rPr>
      <w:rFonts w:ascii="Tahoma" w:hAnsi="Tahoma"/>
      <w:sz w:val="16"/>
      <w:szCs w:val="16"/>
    </w:rPr>
  </w:style>
  <w:style w:type="paragraph" w:styleId="18">
    <w:name w:val="footer"/>
    <w:basedOn w:val="1"/>
    <w:qFormat/>
    <w:uiPriority w:val="0"/>
    <w:pPr>
      <w:tabs>
        <w:tab w:val="center" w:pos="4153"/>
        <w:tab w:val="right" w:pos="8306"/>
      </w:tabs>
      <w:snapToGrid w:val="0"/>
      <w:spacing w:line="240" w:lineRule="auto"/>
    </w:pPr>
    <w:rPr>
      <w:sz w:val="18"/>
      <w:szCs w:val="18"/>
    </w:rPr>
  </w:style>
  <w:style w:type="paragraph" w:styleId="19">
    <w:name w:val="header"/>
    <w:basedOn w:val="1"/>
    <w:link w:val="38"/>
    <w:qFormat/>
    <w:uiPriority w:val="0"/>
    <w:pPr>
      <w:tabs>
        <w:tab w:val="center" w:pos="4536"/>
        <w:tab w:val="right" w:pos="9072"/>
      </w:tabs>
      <w:spacing w:after="0" w:line="240" w:lineRule="auto"/>
    </w:pPr>
    <w:rPr>
      <w:rFonts w:ascii="Arial" w:hAnsi="Arial" w:eastAsia="MS Mincho"/>
      <w:b/>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40"/>
    <w:semiHidden/>
    <w:qFormat/>
    <w:uiPriority w:val="0"/>
    <w:pPr>
      <w:spacing w:after="0" w:line="240" w:lineRule="auto"/>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39"/>
    <w:unhideWhenUsed/>
    <w:qFormat/>
    <w:uiPriority w:val="99"/>
    <w:rPr>
      <w:b/>
      <w:bCs/>
    </w:rPr>
  </w:style>
  <w:style w:type="table" w:styleId="25">
    <w:name w:val="Table Grid"/>
    <w:basedOn w:val="2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Balloon Text Char"/>
    <w:link w:val="17"/>
    <w:semiHidden/>
    <w:qFormat/>
    <w:uiPriority w:val="99"/>
    <w:rPr>
      <w:rFonts w:ascii="Tahoma" w:hAnsi="Tahoma" w:cs="Tahoma"/>
      <w:sz w:val="16"/>
      <w:szCs w:val="16"/>
    </w:rPr>
  </w:style>
  <w:style w:type="character" w:customStyle="1" w:styleId="36">
    <w:name w:val="Heading 1 Char"/>
    <w:link w:val="2"/>
    <w:qFormat/>
    <w:uiPriority w:val="99"/>
    <w:rPr>
      <w:rFonts w:ascii="Arial" w:hAnsi="Arial" w:eastAsia="黑体"/>
      <w:b/>
      <w:bCs/>
      <w:sz w:val="30"/>
      <w:szCs w:val="30"/>
      <w:lang w:val="zh-CN"/>
    </w:rPr>
  </w:style>
  <w:style w:type="character" w:customStyle="1" w:styleId="37">
    <w:name w:val="Heading 3 Char"/>
    <w:link w:val="4"/>
    <w:qFormat/>
    <w:uiPriority w:val="9"/>
    <w:rPr>
      <w:rFonts w:ascii="Arial" w:hAnsi="Arial" w:eastAsia="黑体"/>
      <w:b/>
      <w:bCs/>
      <w:sz w:val="32"/>
      <w:szCs w:val="32"/>
      <w:lang w:val="zh-CN"/>
    </w:rPr>
  </w:style>
  <w:style w:type="character" w:customStyle="1" w:styleId="38">
    <w:name w:val="Header Char"/>
    <w:link w:val="19"/>
    <w:qFormat/>
    <w:uiPriority w:val="0"/>
    <w:rPr>
      <w:rFonts w:ascii="Arial" w:hAnsi="Arial" w:eastAsia="MS Mincho"/>
      <w:b/>
      <w:szCs w:val="24"/>
      <w:lang w:eastAsia="en-US"/>
    </w:rPr>
  </w:style>
  <w:style w:type="character" w:customStyle="1" w:styleId="39">
    <w:name w:val="Comment Subject Char"/>
    <w:link w:val="23"/>
    <w:semiHidden/>
    <w:qFormat/>
    <w:uiPriority w:val="99"/>
    <w:rPr>
      <w:b/>
      <w:bCs/>
    </w:rPr>
  </w:style>
  <w:style w:type="character" w:customStyle="1" w:styleId="40">
    <w:name w:val="Footnote Text Char"/>
    <w:link w:val="21"/>
    <w:semiHidden/>
    <w:qFormat/>
    <w:uiPriority w:val="0"/>
    <w:rPr>
      <w:rFonts w:ascii="Times" w:hAnsi="Times" w:eastAsia="Batang"/>
      <w:lang w:eastAsia="en-US"/>
    </w:rPr>
  </w:style>
  <w:style w:type="character" w:customStyle="1" w:styleId="41">
    <w:name w:val="TH Char"/>
    <w:link w:val="42"/>
    <w:qFormat/>
    <w:uiPriority w:val="0"/>
    <w:rPr>
      <w:rFonts w:ascii="Arial" w:hAnsi="Arial"/>
      <w:b/>
      <w:lang w:val="en-GB" w:eastAsia="en-US"/>
    </w:rPr>
  </w:style>
  <w:style w:type="paragraph" w:customStyle="1" w:styleId="42">
    <w:name w:val="TH"/>
    <w:basedOn w:val="1"/>
    <w:link w:val="41"/>
    <w:qFormat/>
    <w:uiPriority w:val="0"/>
    <w:pPr>
      <w:keepNext/>
      <w:keepLines/>
      <w:spacing w:before="60" w:after="180" w:line="240" w:lineRule="auto"/>
      <w:jc w:val="center"/>
    </w:pPr>
    <w:rPr>
      <w:rFonts w:ascii="Arial" w:hAnsi="Arial"/>
      <w:b/>
      <w:szCs w:val="20"/>
      <w:lang w:val="en-GB" w:eastAsia="en-US"/>
    </w:rPr>
  </w:style>
  <w:style w:type="character" w:customStyle="1" w:styleId="43">
    <w:name w:val="TAC Char"/>
    <w:link w:val="44"/>
    <w:qFormat/>
    <w:uiPriority w:val="0"/>
    <w:rPr>
      <w:rFonts w:ascii="Arial" w:hAnsi="Arial" w:eastAsia="Times New Roman"/>
      <w:sz w:val="18"/>
      <w:lang w:val="en-GB" w:eastAsia="en-GB"/>
    </w:rPr>
  </w:style>
  <w:style w:type="paragraph" w:customStyle="1" w:styleId="44">
    <w:name w:val="TAC"/>
    <w:basedOn w:val="45"/>
    <w:link w:val="43"/>
    <w:qFormat/>
    <w:uiPriority w:val="0"/>
    <w:pPr>
      <w:overflowPunct w:val="0"/>
      <w:autoSpaceDE w:val="0"/>
      <w:autoSpaceDN w:val="0"/>
      <w:adjustRightInd w:val="0"/>
      <w:jc w:val="center"/>
      <w:textAlignment w:val="baseline"/>
    </w:pPr>
    <w:rPr>
      <w:rFonts w:eastAsia="Times New Roman"/>
      <w:lang w:eastAsia="en-GB"/>
    </w:rPr>
  </w:style>
  <w:style w:type="paragraph" w:customStyle="1" w:styleId="45">
    <w:name w:val="TAL"/>
    <w:basedOn w:val="1"/>
    <w:qFormat/>
    <w:uiPriority w:val="0"/>
    <w:pPr>
      <w:keepNext/>
      <w:keepLines/>
      <w:spacing w:after="0" w:line="240" w:lineRule="auto"/>
    </w:pPr>
    <w:rPr>
      <w:rFonts w:ascii="Arial" w:hAnsi="Arial"/>
      <w:sz w:val="18"/>
      <w:szCs w:val="20"/>
      <w:lang w:val="en-GB" w:eastAsia="en-US"/>
    </w:rPr>
  </w:style>
  <w:style w:type="character" w:customStyle="1" w:styleId="46">
    <w:name w:val="apple-converted-space"/>
    <w:basedOn w:val="27"/>
    <w:qFormat/>
    <w:uiPriority w:val="0"/>
  </w:style>
  <w:style w:type="character" w:customStyle="1" w:styleId="47">
    <w:name w:val="Caption Char"/>
    <w:link w:val="12"/>
    <w:qFormat/>
    <w:uiPriority w:val="0"/>
    <w:rPr>
      <w:rFonts w:ascii="Times New Roman" w:hAnsi="Times New Roman"/>
      <w:b/>
      <w:bCs/>
      <w:lang w:val="en-GB" w:eastAsia="sv-SE"/>
    </w:rPr>
  </w:style>
  <w:style w:type="character" w:customStyle="1" w:styleId="48">
    <w:name w:val="B1 (文字)"/>
    <w:link w:val="49"/>
    <w:qFormat/>
    <w:locked/>
    <w:uiPriority w:val="99"/>
    <w:rPr>
      <w:rFonts w:ascii="Times New Roman" w:hAnsi="Times New Roman" w:eastAsia="宋体"/>
      <w:lang w:val="en-GB" w:eastAsia="en-US"/>
    </w:rPr>
  </w:style>
  <w:style w:type="paragraph" w:customStyle="1" w:styleId="49">
    <w:name w:val="B1"/>
    <w:basedOn w:val="20"/>
    <w:link w:val="48"/>
    <w:qFormat/>
    <w:uiPriority w:val="0"/>
    <w:pPr>
      <w:spacing w:after="180" w:line="240" w:lineRule="auto"/>
      <w:ind w:left="568" w:hanging="284" w:firstLineChars="0"/>
    </w:pPr>
    <w:rPr>
      <w:szCs w:val="20"/>
      <w:lang w:val="en-GB" w:eastAsia="en-US"/>
    </w:rPr>
  </w:style>
  <w:style w:type="character" w:customStyle="1" w:styleId="50">
    <w:name w:val="main text Char"/>
    <w:link w:val="51"/>
    <w:qFormat/>
    <w:uiPriority w:val="0"/>
    <w:rPr>
      <w:rFonts w:ascii="Times New Roman" w:hAnsi="Times New Roman" w:eastAsia="Malgun Gothic"/>
      <w:lang w:val="en-GB" w:eastAsia="ko-KR"/>
    </w:rPr>
  </w:style>
  <w:style w:type="paragraph" w:customStyle="1" w:styleId="51">
    <w:name w:val="main text"/>
    <w:basedOn w:val="1"/>
    <w:link w:val="50"/>
    <w:qFormat/>
    <w:uiPriority w:val="0"/>
    <w:pPr>
      <w:spacing w:before="60" w:after="60" w:line="288" w:lineRule="auto"/>
      <w:ind w:firstLine="200" w:firstLineChars="200"/>
    </w:pPr>
    <w:rPr>
      <w:rFonts w:eastAsia="Malgun Gothic"/>
      <w:szCs w:val="20"/>
      <w:lang w:val="en-GB" w:eastAsia="ko-KR"/>
    </w:rPr>
  </w:style>
  <w:style w:type="character" w:customStyle="1" w:styleId="52">
    <w:name w:val="Comment Text Char"/>
    <w:basedOn w:val="27"/>
    <w:link w:val="14"/>
    <w:qFormat/>
    <w:uiPriority w:val="0"/>
  </w:style>
  <w:style w:type="character" w:customStyle="1" w:styleId="53">
    <w:name w:val="Body Text Char"/>
    <w:link w:val="15"/>
    <w:qFormat/>
    <w:uiPriority w:val="0"/>
    <w:rPr>
      <w:rFonts w:ascii="Times New Roman" w:hAnsi="Times New Roman"/>
      <w:color w:val="0000FF"/>
      <w:kern w:val="2"/>
      <w:sz w:val="21"/>
    </w:rPr>
  </w:style>
  <w:style w:type="character" w:customStyle="1" w:styleId="54">
    <w:name w:val="def"/>
    <w:basedOn w:val="27"/>
    <w:qFormat/>
    <w:uiPriority w:val="0"/>
  </w:style>
  <w:style w:type="character" w:customStyle="1" w:styleId="55">
    <w:name w:val="中等深浅网格 1 - 强调文字颜色 2 Char"/>
    <w:qFormat/>
    <w:locked/>
    <w:uiPriority w:val="34"/>
    <w:rPr>
      <w:rFonts w:ascii="Times New Roman" w:hAnsi="Times New Roman"/>
      <w:kern w:val="2"/>
      <w:sz w:val="21"/>
      <w:szCs w:val="24"/>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line="336" w:lineRule="auto"/>
      <w:ind w:firstLine="397"/>
    </w:pPr>
    <w:rPr>
      <w:rFonts w:eastAsia="Malgun Gothic"/>
      <w:szCs w:val="20"/>
      <w:lang w:val="en-GB" w:eastAsia="ko-KR"/>
    </w:rPr>
  </w:style>
  <w:style w:type="character" w:customStyle="1" w:styleId="58">
    <w:name w:val="word"/>
    <w:basedOn w:val="27"/>
    <w:qFormat/>
    <w:uiPriority w:val="0"/>
  </w:style>
  <w:style w:type="character" w:customStyle="1" w:styleId="59">
    <w:name w:val="Document Map Char"/>
    <w:link w:val="13"/>
    <w:semiHidden/>
    <w:qFormat/>
    <w:uiPriority w:val="99"/>
    <w:rPr>
      <w:rFonts w:ascii="宋体"/>
      <w:sz w:val="18"/>
      <w:szCs w:val="18"/>
    </w:rPr>
  </w:style>
  <w:style w:type="character" w:customStyle="1" w:styleId="60">
    <w:name w:val="high-light"/>
    <w:basedOn w:val="27"/>
    <w:qFormat/>
    <w:uiPriority w:val="0"/>
  </w:style>
  <w:style w:type="character" w:customStyle="1" w:styleId="61">
    <w:name w:val="pos"/>
    <w:basedOn w:val="27"/>
    <w:qFormat/>
    <w:uiPriority w:val="0"/>
  </w:style>
  <w:style w:type="character" w:customStyle="1" w:styleId="62">
    <w:name w:val="apple-style-span"/>
    <w:basedOn w:val="27"/>
    <w:qFormat/>
    <w:uiPriority w:val="0"/>
  </w:style>
  <w:style w:type="character" w:customStyle="1" w:styleId="63">
    <w:name w:val="ZGSM"/>
    <w:qFormat/>
    <w:uiPriority w:val="0"/>
  </w:style>
  <w:style w:type="paragraph" w:customStyle="1" w:styleId="64">
    <w:name w:val="TAH"/>
    <w:basedOn w:val="44"/>
    <w:link w:val="91"/>
    <w:qFormat/>
    <w:uiPriority w:val="0"/>
    <w:rPr>
      <w:b/>
    </w:rPr>
  </w:style>
  <w:style w:type="paragraph" w:customStyle="1" w:styleId="6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2"/>
      </w:numPr>
    </w:pPr>
    <w:rPr>
      <w:szCs w:val="20"/>
    </w:rPr>
  </w:style>
  <w:style w:type="paragraph" w:customStyle="1" w:styleId="67">
    <w:name w:val="PaperTableCell"/>
    <w:basedOn w:val="1"/>
    <w:qFormat/>
    <w:uiPriority w:val="0"/>
    <w:pPr>
      <w:spacing w:after="0" w:line="240" w:lineRule="auto"/>
    </w:pPr>
    <w:rPr>
      <w:rFonts w:eastAsia="Times New Roman"/>
      <w:sz w:val="16"/>
      <w:szCs w:val="24"/>
      <w:lang w:eastAsia="en-US"/>
    </w:rPr>
  </w:style>
  <w:style w:type="paragraph" w:customStyle="1" w:styleId="68">
    <w:name w:val="CR Cover Page"/>
    <w:qFormat/>
    <w:uiPriority w:val="0"/>
    <w:pPr>
      <w:spacing w:after="120" w:line="259" w:lineRule="auto"/>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eastAsia="en-US"/>
    </w:rPr>
  </w:style>
  <w:style w:type="paragraph" w:customStyle="1" w:styleId="72">
    <w:name w:val="RAN1 bullet3"/>
    <w:basedOn w:val="66"/>
    <w:qFormat/>
    <w:uiPriority w:val="0"/>
    <w:pPr>
      <w:numPr>
        <w:ilvl w:val="2"/>
        <w:numId w:val="3"/>
      </w:numPr>
    </w:pPr>
  </w:style>
  <w:style w:type="paragraph" w:customStyle="1" w:styleId="7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4"/>
      </w:numPr>
    </w:pPr>
  </w:style>
  <w:style w:type="paragraph" w:customStyle="1" w:styleId="7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5"/>
    <w:link w:val="92"/>
    <w:qFormat/>
    <w:uiPriority w:val="0"/>
    <w:rPr>
      <w:rFonts w:eastAsia="MS Mincho"/>
    </w:rPr>
  </w:style>
  <w:style w:type="paragraph" w:customStyle="1" w:styleId="83">
    <w:name w:val="TF"/>
    <w:basedOn w:val="42"/>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pPr>
    <w:rPr>
      <w:kern w:val="2"/>
      <w:sz w:val="21"/>
    </w:rPr>
  </w:style>
  <w:style w:type="table" w:customStyle="1" w:styleId="87">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rFonts w:eastAsia="t"/>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Cs w:val="24"/>
      <w:lang w:val="en-GB"/>
    </w:rPr>
  </w:style>
  <w:style w:type="paragraph" w:customStyle="1" w:styleId="96">
    <w:name w:val="3GPP_Header"/>
    <w:basedOn w:val="1"/>
    <w:qFormat/>
    <w:uiPriority w:val="99"/>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97">
    <w:name w:val="占位符文本1"/>
    <w:basedOn w:val="27"/>
    <w:unhideWhenUsed/>
    <w:qFormat/>
    <w:uiPriority w:val="99"/>
    <w:rPr>
      <w:color w:val="808080"/>
    </w:rPr>
  </w:style>
  <w:style w:type="paragraph" w:customStyle="1" w:styleId="9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9">
    <w:name w:val="Placeholder Text1"/>
    <w:basedOn w:val="27"/>
    <w:semiHidden/>
    <w:qFormat/>
    <w:uiPriority w:val="99"/>
    <w:rPr>
      <w:color w:val="808080"/>
    </w:rPr>
  </w:style>
  <w:style w:type="paragraph" w:customStyle="1" w:styleId="100">
    <w:name w:val="List Paragraph2"/>
    <w:basedOn w:val="1"/>
    <w:qFormat/>
    <w:uiPriority w:val="34"/>
    <w:pPr>
      <w:ind w:firstLine="420" w:firstLineChars="200"/>
    </w:pPr>
  </w:style>
  <w:style w:type="paragraph" w:customStyle="1" w:styleId="10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napToGrid w:val="0"/>
      <w:spacing w:afterLines="50" w:line="240" w:lineRule="auto"/>
    </w:pPr>
    <w:rPr>
      <w:rFonts w:eastAsia="微软雅黑"/>
      <w:b/>
    </w:rPr>
  </w:style>
  <w:style w:type="character" w:customStyle="1" w:styleId="103">
    <w:name w:val="样式1 Char"/>
    <w:basedOn w:val="27"/>
    <w:link w:val="102"/>
    <w:qFormat/>
    <w:uiPriority w:val="0"/>
    <w:rPr>
      <w:rFonts w:eastAsia="微软雅黑"/>
      <w:b/>
      <w:sz w:val="22"/>
      <w:szCs w:val="22"/>
    </w:rPr>
  </w:style>
  <w:style w:type="paragraph" w:customStyle="1" w:styleId="104">
    <w:name w:val="Style1"/>
    <w:basedOn w:val="1"/>
    <w:link w:val="105"/>
    <w:qFormat/>
    <w:uiPriority w:val="0"/>
    <w:pPr>
      <w:spacing w:after="180" w:line="288" w:lineRule="auto"/>
      <w:ind w:firstLine="360"/>
    </w:pPr>
    <w:rPr>
      <w:rFonts w:eastAsia="Malgun Gothic" w:cs="Batang"/>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51"/>
    <w:link w:val="136"/>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8">
    <w:name w:val="03_Proposal"/>
    <w:basedOn w:val="109"/>
    <w:qFormat/>
    <w:uiPriority w:val="0"/>
    <w:rPr>
      <w:b/>
      <w:i w:val="0"/>
      <w:iCs w:val="0"/>
    </w:rPr>
  </w:style>
  <w:style w:type="paragraph" w:customStyle="1" w:styleId="109">
    <w:name w:val="04_Proposal1"/>
    <w:basedOn w:val="1"/>
    <w:qFormat/>
    <w:uiPriority w:val="0"/>
    <w:rPr>
      <w:bCs/>
      <w:i/>
      <w:iCs/>
    </w:rPr>
  </w:style>
  <w:style w:type="paragraph" w:customStyle="1" w:styleId="110">
    <w:name w:val="列出段落2"/>
    <w:basedOn w:val="1"/>
    <w:link w:val="111"/>
    <w:qFormat/>
    <w:uiPriority w:val="34"/>
    <w:pPr>
      <w:ind w:firstLine="420" w:firstLineChars="200"/>
    </w:pPr>
  </w:style>
  <w:style w:type="character" w:customStyle="1" w:styleId="111">
    <w:name w:val="List Paragraph Char"/>
    <w:basedOn w:val="27"/>
    <w:link w:val="110"/>
    <w:qFormat/>
    <w:locked/>
    <w:uiPriority w:val="34"/>
    <w:rPr>
      <w:rFonts w:eastAsia="t"/>
      <w:szCs w:val="22"/>
    </w:rPr>
  </w:style>
  <w:style w:type="paragraph" w:styleId="112">
    <w:name w:val="List Paragraph"/>
    <w:basedOn w:val="1"/>
    <w:link w:val="135"/>
    <w:qFormat/>
    <w:uiPriority w:val="34"/>
    <w:pPr>
      <w:ind w:firstLine="420" w:firstLineChars="200"/>
    </w:pPr>
  </w:style>
  <w:style w:type="paragraph" w:customStyle="1" w:styleId="11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7">
    <w:name w:val="msoins"/>
    <w:qFormat/>
    <w:uiPriority w:val="0"/>
  </w:style>
  <w:style w:type="paragraph" w:customStyle="1" w:styleId="118">
    <w:name w:val="Agreement"/>
    <w:basedOn w:val="1"/>
    <w:next w:val="119"/>
    <w:qFormat/>
    <w:uiPriority w:val="99"/>
    <w:pPr>
      <w:numPr>
        <w:ilvl w:val="0"/>
        <w:numId w:val="5"/>
      </w:numPr>
      <w:spacing w:before="60" w:after="0"/>
    </w:pPr>
    <w:rPr>
      <w:rFonts w:ascii="Arial" w:hAnsi="Arial"/>
      <w:b/>
      <w:szCs w:val="24"/>
      <w:lang w:eastAsia="en-GB"/>
    </w:rPr>
  </w:style>
  <w:style w:type="paragraph" w:customStyle="1" w:styleId="119">
    <w:name w:val="Doc-text2"/>
    <w:basedOn w:val="1"/>
    <w:qFormat/>
    <w:uiPriority w:val="0"/>
    <w:pPr>
      <w:tabs>
        <w:tab w:val="left" w:pos="1622"/>
      </w:tabs>
      <w:spacing w:after="0"/>
      <w:ind w:left="1622" w:hanging="363"/>
    </w:pPr>
    <w:rPr>
      <w:rFonts w:ascii="Arial" w:hAnsi="Arial"/>
      <w:szCs w:val="24"/>
      <w:lang w:eastAsia="en-GB"/>
    </w:rPr>
  </w:style>
  <w:style w:type="paragraph" w:customStyle="1" w:styleId="120">
    <w:name w:val="B2"/>
    <w:basedOn w:val="1"/>
    <w:link w:val="121"/>
    <w:qFormat/>
    <w:uiPriority w:val="0"/>
    <w:pPr>
      <w:spacing w:after="180" w:line="240" w:lineRule="auto"/>
      <w:ind w:left="851" w:hanging="284"/>
    </w:pPr>
    <w:rPr>
      <w:rFonts w:eastAsia="Times New Roman"/>
      <w:szCs w:val="20"/>
      <w:lang w:val="zh-CN" w:eastAsia="en-US"/>
    </w:rPr>
  </w:style>
  <w:style w:type="character" w:customStyle="1" w:styleId="121">
    <w:name w:val="B2 Char"/>
    <w:link w:val="120"/>
    <w:qFormat/>
    <w:uiPriority w:val="0"/>
    <w:rPr>
      <w:rFonts w:eastAsia="Times New Roman"/>
      <w:lang w:val="zh-CN" w:eastAsia="en-US"/>
    </w:rPr>
  </w:style>
  <w:style w:type="character" w:customStyle="1" w:styleId="122">
    <w:name w:val="x_xxapple-converted-space"/>
    <w:basedOn w:val="27"/>
    <w:qFormat/>
    <w:uiPriority w:val="0"/>
  </w:style>
  <w:style w:type="paragraph" w:customStyle="1" w:styleId="123">
    <w:name w:val="text intend 1"/>
    <w:basedOn w:val="89"/>
    <w:qFormat/>
    <w:uiPriority w:val="0"/>
    <w:pPr>
      <w:widowControl/>
      <w:numPr>
        <w:ilvl w:val="0"/>
        <w:numId w:val="6"/>
      </w:numPr>
      <w:spacing w:after="120"/>
    </w:pPr>
    <w:rPr>
      <w:rFonts w:eastAsia="MS Mincho"/>
      <w:lang w:val="en-US"/>
    </w:rPr>
  </w:style>
  <w:style w:type="paragraph" w:customStyle="1" w:styleId="124">
    <w:name w:val="x_xxmsonormal"/>
    <w:basedOn w:val="1"/>
    <w:qFormat/>
    <w:uiPriority w:val="99"/>
    <w:rPr>
      <w:rFonts w:eastAsia="Malgun Gothic"/>
      <w:sz w:val="24"/>
      <w:lang w:eastAsia="ko-KR"/>
    </w:rPr>
  </w:style>
  <w:style w:type="paragraph" w:styleId="12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6">
    <w:name w:val="tal"/>
    <w:basedOn w:val="1"/>
    <w:qFormat/>
    <w:uiPriority w:val="0"/>
    <w:pPr>
      <w:keepNext/>
      <w:spacing w:after="0" w:line="240" w:lineRule="auto"/>
    </w:pPr>
    <w:rPr>
      <w:rFonts w:ascii="Arial" w:hAnsi="Arial" w:eastAsia="Gulim" w:cs="Arial"/>
      <w:sz w:val="18"/>
      <w:szCs w:val="18"/>
      <w:lang w:eastAsia="ko-KR"/>
    </w:rPr>
  </w:style>
  <w:style w:type="paragraph" w:customStyle="1" w:styleId="127">
    <w:name w:val="x_msonormal"/>
    <w:basedOn w:val="1"/>
    <w:qFormat/>
    <w:uiPriority w:val="99"/>
    <w:rPr>
      <w:rFonts w:ascii="Calibri" w:hAnsi="Calibri" w:eastAsia="Calibri" w:cs="Calibri"/>
      <w:sz w:val="22"/>
    </w:rPr>
  </w:style>
  <w:style w:type="paragraph" w:customStyle="1" w:styleId="128">
    <w:name w:val="PatApp Body"/>
    <w:basedOn w:val="1"/>
    <w:qFormat/>
    <w:uiPriority w:val="0"/>
    <w:pPr>
      <w:numPr>
        <w:ilvl w:val="0"/>
        <w:numId w:val="7"/>
      </w:numPr>
      <w:spacing w:line="480" w:lineRule="auto"/>
    </w:pPr>
    <w:rPr>
      <w:rFonts w:eastAsia="Times New Roman"/>
      <w:snapToGrid w:val="0"/>
      <w:sz w:val="24"/>
      <w:szCs w:val="20"/>
      <w:lang w:eastAsia="en-US"/>
    </w:rPr>
  </w:style>
  <w:style w:type="character" w:customStyle="1" w:styleId="129">
    <w:name w:val="font11"/>
    <w:basedOn w:val="27"/>
    <w:qFormat/>
    <w:uiPriority w:val="0"/>
    <w:rPr>
      <w:rFonts w:hint="eastAsia" w:ascii="宋体" w:hAnsi="宋体" w:eastAsia="宋体" w:cs="宋体"/>
      <w:color w:val="000000"/>
      <w:sz w:val="24"/>
      <w:szCs w:val="24"/>
      <w:u w:val="none"/>
      <w:vertAlign w:val="subscript"/>
    </w:rPr>
  </w:style>
  <w:style w:type="paragraph" w:customStyle="1" w:styleId="130">
    <w:name w:val="列表段落1"/>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table" w:customStyle="1" w:styleId="131">
    <w:name w:val="网格型2"/>
    <w:basedOn w:val="24"/>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
    <w:name w:val="Date Char"/>
    <w:basedOn w:val="27"/>
    <w:link w:val="16"/>
    <w:semiHidden/>
    <w:qFormat/>
    <w:uiPriority w:val="99"/>
    <w:rPr>
      <w:rFonts w:eastAsia="t"/>
      <w:szCs w:val="22"/>
    </w:rPr>
  </w:style>
  <w:style w:type="paragraph" w:customStyle="1" w:styleId="133">
    <w:name w:val="msolistparagraph"/>
    <w:basedOn w:val="1"/>
    <w:qFormat/>
    <w:uiPriority w:val="0"/>
    <w:pPr>
      <w:ind w:firstLine="420" w:firstLineChars="200"/>
    </w:pPr>
  </w:style>
  <w:style w:type="paragraph" w:customStyle="1" w:styleId="134">
    <w:name w:val="Revision2"/>
    <w:hidden/>
    <w:semiHidden/>
    <w:qFormat/>
    <w:uiPriority w:val="99"/>
    <w:rPr>
      <w:rFonts w:ascii="Times New Roman" w:hAnsi="Times New Roman" w:eastAsia="t" w:cs="Times New Roman"/>
      <w:szCs w:val="22"/>
      <w:lang w:val="en-US" w:eastAsia="zh-CN" w:bidi="ar-SA"/>
    </w:rPr>
  </w:style>
  <w:style w:type="character" w:customStyle="1" w:styleId="135">
    <w:name w:val="List Paragraph Char1"/>
    <w:link w:val="112"/>
    <w:qFormat/>
    <w:uiPriority w:val="34"/>
    <w:rPr>
      <w:szCs w:val="22"/>
    </w:rPr>
  </w:style>
  <w:style w:type="character" w:customStyle="1" w:styleId="136">
    <w:name w:val="0 Main text Char"/>
    <w:link w:val="106"/>
    <w:qFormat/>
    <w:locked/>
    <w:uiPriority w:val="0"/>
    <w:rPr>
      <w:rFonts w:eastAsia="Malgun Gothic" w:cs="Batang"/>
      <w:lang w:val="en-GB" w:eastAsia="en-US"/>
    </w:rPr>
  </w:style>
  <w:style w:type="character" w:styleId="137">
    <w:name w:val="Placeholder Text"/>
    <w:basedOn w:val="27"/>
    <w:semiHidden/>
    <w:qFormat/>
    <w:uiPriority w:val="99"/>
    <w:rPr>
      <w:color w:val="808080"/>
    </w:rPr>
  </w:style>
  <w:style w:type="paragraph" w:customStyle="1" w:styleId="138">
    <w:name w:val="修订2"/>
    <w:hidden/>
    <w:semiHidden/>
    <w:qFormat/>
    <w:uiPriority w:val="99"/>
    <w:rPr>
      <w:rFonts w:ascii="Times New Roman" w:hAnsi="Times New Roman" w:eastAsia="宋体" w:cs="Times New Roman"/>
      <w:szCs w:val="22"/>
      <w:lang w:val="en-US" w:eastAsia="zh-CN" w:bidi="ar-SA"/>
    </w:rPr>
  </w:style>
  <w:style w:type="character" w:customStyle="1" w:styleId="139">
    <w:name w:val="列表段落 字符1"/>
    <w:qFormat/>
    <w:uiPriority w:val="34"/>
    <w:rPr>
      <w:rFonts w:ascii="Times" w:hAnsi="Times" w:eastAsia="Batang"/>
      <w:szCs w:val="24"/>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4" Type="http://schemas.openxmlformats.org/officeDocument/2006/relationships/fontTable" Target="fontTable.xml"/><Relationship Id="rId53" Type="http://schemas.openxmlformats.org/officeDocument/2006/relationships/customXml" Target="../customXml/item1.xml"/><Relationship Id="rId52" Type="http://schemas.openxmlformats.org/officeDocument/2006/relationships/numbering" Target="numbering.xml"/><Relationship Id="rId51" Type="http://schemas.openxmlformats.org/officeDocument/2006/relationships/image" Target="media/image22.wmf"/><Relationship Id="rId50" Type="http://schemas.openxmlformats.org/officeDocument/2006/relationships/oleObject" Target="embeddings/oleObject22.bin"/><Relationship Id="rId5" Type="http://schemas.openxmlformats.org/officeDocument/2006/relationships/theme" Target="theme/theme1.xml"/><Relationship Id="rId49" Type="http://schemas.openxmlformats.org/officeDocument/2006/relationships/image" Target="media/image21.png"/><Relationship Id="rId48" Type="http://schemas.openxmlformats.org/officeDocument/2006/relationships/image" Target="media/image20.png"/><Relationship Id="rId47" Type="http://schemas.openxmlformats.org/officeDocument/2006/relationships/chart" Target="charts/chart2.xml"/><Relationship Id="rId46" Type="http://schemas.openxmlformats.org/officeDocument/2006/relationships/chart" Target="charts/chart1.xml"/><Relationship Id="rId45" Type="http://schemas.openxmlformats.org/officeDocument/2006/relationships/image" Target="media/image19.wmf"/><Relationship Id="rId44" Type="http://schemas.openxmlformats.org/officeDocument/2006/relationships/oleObject" Target="embeddings/oleObject21.bin"/><Relationship Id="rId43" Type="http://schemas.openxmlformats.org/officeDocument/2006/relationships/image" Target="media/image18.wmf"/><Relationship Id="rId42" Type="http://schemas.openxmlformats.org/officeDocument/2006/relationships/oleObject" Target="embeddings/oleObject20.bin"/><Relationship Id="rId41" Type="http://schemas.openxmlformats.org/officeDocument/2006/relationships/oleObject" Target="embeddings/oleObject19.bin"/><Relationship Id="rId40" Type="http://schemas.openxmlformats.org/officeDocument/2006/relationships/image" Target="media/image17.wmf"/><Relationship Id="rId4" Type="http://schemas.openxmlformats.org/officeDocument/2006/relationships/endnotes" Target="endnotes.xml"/><Relationship Id="rId39" Type="http://schemas.openxmlformats.org/officeDocument/2006/relationships/oleObject" Target="embeddings/oleObject18.bin"/><Relationship Id="rId38" Type="http://schemas.openxmlformats.org/officeDocument/2006/relationships/image" Target="media/image16.wmf"/><Relationship Id="rId37" Type="http://schemas.openxmlformats.org/officeDocument/2006/relationships/oleObject" Target="embeddings/oleObject17.bin"/><Relationship Id="rId36" Type="http://schemas.openxmlformats.org/officeDocument/2006/relationships/image" Target="media/image15.wmf"/><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image" Target="media/image14.wmf"/><Relationship Id="rId32" Type="http://schemas.openxmlformats.org/officeDocument/2006/relationships/oleObject" Target="embeddings/oleObject14.bin"/><Relationship Id="rId31" Type="http://schemas.openxmlformats.org/officeDocument/2006/relationships/image" Target="media/image13.wmf"/><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2.wmf"/><Relationship Id="rId27" Type="http://schemas.openxmlformats.org/officeDocument/2006/relationships/oleObject" Target="embeddings/oleObject11.bin"/><Relationship Id="rId26" Type="http://schemas.openxmlformats.org/officeDocument/2006/relationships/image" Target="media/image11.wmf"/><Relationship Id="rId25" Type="http://schemas.openxmlformats.org/officeDocument/2006/relationships/oleObject" Target="embeddings/oleObject10.bin"/><Relationship Id="rId24" Type="http://schemas.openxmlformats.org/officeDocument/2006/relationships/image" Target="media/image10.wmf"/><Relationship Id="rId23" Type="http://schemas.openxmlformats.org/officeDocument/2006/relationships/oleObject" Target="embeddings/oleObject9.bin"/><Relationship Id="rId22" Type="http://schemas.openxmlformats.org/officeDocument/2006/relationships/image" Target="media/image9.wmf"/><Relationship Id="rId21" Type="http://schemas.openxmlformats.org/officeDocument/2006/relationships/oleObject" Target="embeddings/oleObject8.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7.wmf"/><Relationship Id="rId17" Type="http://schemas.openxmlformats.org/officeDocument/2006/relationships/oleObject" Target="embeddings/oleObject6.bin"/><Relationship Id="rId16" Type="http://schemas.openxmlformats.org/officeDocument/2006/relationships/image" Target="media/image6.wmf"/><Relationship Id="rId15" Type="http://schemas.openxmlformats.org/officeDocument/2006/relationships/oleObject" Target="embeddings/oleObject5.bin"/><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3GPP%20RAN1\R-19\RAN1%20118bis\&#25552;&#26696;&#25776;&#20889;\32port&#20223;&#30495;.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F:\&#31639;&#27861;&#25991;&#26723;new\R19\118b&#20250;&#35758;\CBSR_3bi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UPT gain</a:t>
            </a:r>
            <a:endPar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barChart>
        <c:barDir val="col"/>
        <c:grouping val="clustered"/>
        <c:varyColors val="0"/>
        <c:ser>
          <c:idx val="0"/>
          <c:order val="0"/>
          <c:tx>
            <c:strRef>
              <c:f>[32port仿真.xlsx]Sheet1!$A$38</c:f>
              <c:strCache>
                <c:ptCount val="1"/>
                <c:pt idx="0">
                  <c:v>R15</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[32port仿真.xlsx]Sheet1!$B$37:$D$37</c:f>
              <c:strCache>
                <c:ptCount val="3"/>
                <c:pt idx="0">
                  <c:v>5%</c:v>
                </c:pt>
                <c:pt idx="1">
                  <c:v>95%</c:v>
                </c:pt>
                <c:pt idx="2">
                  <c:v>mean</c:v>
                </c:pt>
              </c:strCache>
            </c:strRef>
          </c:cat>
          <c:val>
            <c:numRef>
              <c:f>[32port仿真.xlsx]Sheet1!$B$38:$D$38</c:f>
              <c:numCache>
                <c:formatCode>0.0%</c:formatCode>
                <c:ptCount val="3"/>
                <c:pt idx="0">
                  <c:v>1</c:v>
                </c:pt>
                <c:pt idx="1">
                  <c:v>1</c:v>
                </c:pt>
                <c:pt idx="2">
                  <c:v>1</c:v>
                </c:pt>
              </c:numCache>
            </c:numRef>
          </c:val>
        </c:ser>
        <c:ser>
          <c:idx val="1"/>
          <c:order val="1"/>
          <c:tx>
            <c:strRef>
              <c:f>[32port仿真.xlsx]Sheet1!$A$39</c:f>
              <c:strCache>
                <c:ptCount val="1"/>
                <c:pt idx="0">
                  <c:v>R19 Scheme-A</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[32port仿真.xlsx]Sheet1!$B$37:$D$37</c:f>
              <c:strCache>
                <c:ptCount val="3"/>
                <c:pt idx="0">
                  <c:v>5%</c:v>
                </c:pt>
                <c:pt idx="1">
                  <c:v>95%</c:v>
                </c:pt>
                <c:pt idx="2">
                  <c:v>mean</c:v>
                </c:pt>
              </c:strCache>
            </c:strRef>
          </c:cat>
          <c:val>
            <c:numRef>
              <c:f>[32port仿真.xlsx]Sheet1!$B$39:$D$39</c:f>
              <c:numCache>
                <c:formatCode>0.0%</c:formatCode>
                <c:ptCount val="3"/>
                <c:pt idx="0">
                  <c:v>1.212</c:v>
                </c:pt>
                <c:pt idx="1">
                  <c:v>1.0375</c:v>
                </c:pt>
                <c:pt idx="2">
                  <c:v>1.0805</c:v>
                </c:pt>
              </c:numCache>
            </c:numRef>
          </c:val>
        </c:ser>
        <c:dLbls>
          <c:showLegendKey val="0"/>
          <c:showVal val="1"/>
          <c:showCatName val="0"/>
          <c:showSerName val="0"/>
          <c:showPercent val="0"/>
          <c:showBubbleSize val="0"/>
        </c:dLbls>
        <c:gapWidth val="219"/>
        <c:overlap val="-27"/>
        <c:axId val="41322566"/>
        <c:axId val="224286804"/>
      </c:barChart>
      <c:catAx>
        <c:axId val="4132256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224286804"/>
        <c:crosses val="autoZero"/>
        <c:auto val="1"/>
        <c:lblAlgn val="ctr"/>
        <c:lblOffset val="100"/>
        <c:noMultiLvlLbl val="0"/>
      </c:catAx>
      <c:valAx>
        <c:axId val="224286804"/>
        <c:scaling>
          <c:orientation val="minMax"/>
          <c:min val="0.9"/>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41322566"/>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rPr>
              <a:t>UPT gain</a:t>
            </a:r>
            <a:endPar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barChart>
        <c:barDir val="col"/>
        <c:grouping val="clustered"/>
        <c:varyColors val="0"/>
        <c:ser>
          <c:idx val="0"/>
          <c:order val="0"/>
          <c:tx>
            <c:strRef>
              <c:f>[CBSR_3bit.xlsx]Sheet1!$H$22</c:f>
              <c:strCache>
                <c:ptCount val="1"/>
                <c:pt idx="0">
                  <c:v>No scaling factor</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[CBSR_3bit.xlsx]Sheet1!$I$21:$J$21</c:f>
              <c:strCache>
                <c:ptCount val="2"/>
                <c:pt idx="0">
                  <c:v>5%</c:v>
                </c:pt>
                <c:pt idx="1">
                  <c:v>mean</c:v>
                </c:pt>
              </c:strCache>
            </c:strRef>
          </c:cat>
          <c:val>
            <c:numRef>
              <c:f>[CBSR_3bit.xlsx]Sheet1!$I$22:$J$22</c:f>
              <c:numCache>
                <c:formatCode>0.00%</c:formatCode>
                <c:ptCount val="2"/>
                <c:pt idx="0">
                  <c:v>1</c:v>
                </c:pt>
                <c:pt idx="1">
                  <c:v>1</c:v>
                </c:pt>
              </c:numCache>
            </c:numRef>
          </c:val>
        </c:ser>
        <c:ser>
          <c:idx val="1"/>
          <c:order val="1"/>
          <c:tx>
            <c:strRef>
              <c:f>[CBSR_3bit.xlsx]Sheet1!$H$23</c:f>
              <c:strCache>
                <c:ptCount val="1"/>
                <c:pt idx="0">
                  <c:v>3-bit scaling factor</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[CBSR_3bit.xlsx]Sheet1!$I$21:$J$21</c:f>
              <c:strCache>
                <c:ptCount val="2"/>
                <c:pt idx="0">
                  <c:v>5%</c:v>
                </c:pt>
                <c:pt idx="1">
                  <c:v>mean</c:v>
                </c:pt>
              </c:strCache>
            </c:strRef>
          </c:cat>
          <c:val>
            <c:numRef>
              <c:f>[CBSR_3bit.xlsx]Sheet1!$I$23:$J$23</c:f>
              <c:numCache>
                <c:formatCode>0.00%</c:formatCode>
                <c:ptCount val="2"/>
                <c:pt idx="0">
                  <c:v>1.069</c:v>
                </c:pt>
                <c:pt idx="1">
                  <c:v>1.0143</c:v>
                </c:pt>
              </c:numCache>
            </c:numRef>
          </c:val>
        </c:ser>
        <c:dLbls>
          <c:showLegendKey val="0"/>
          <c:showVal val="1"/>
          <c:showCatName val="0"/>
          <c:showSerName val="0"/>
          <c:showPercent val="0"/>
          <c:showBubbleSize val="0"/>
        </c:dLbls>
        <c:gapWidth val="219"/>
        <c:overlap val="-27"/>
        <c:axId val="905937410"/>
        <c:axId val="726776765"/>
      </c:barChart>
      <c:catAx>
        <c:axId val="90593741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726776765"/>
        <c:crosses val="autoZero"/>
        <c:auto val="1"/>
        <c:lblAlgn val="ctr"/>
        <c:lblOffset val="100"/>
        <c:noMultiLvlLbl val="0"/>
      </c:catAx>
      <c:valAx>
        <c:axId val="72677676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905937410"/>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FF633-A446-4B91-A960-8F65E17E631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23</Pages>
  <Words>9399</Words>
  <Characters>53578</Characters>
  <Lines>446</Lines>
  <Paragraphs>125</Paragraphs>
  <TotalTime>23</TotalTime>
  <ScaleCrop>false</ScaleCrop>
  <LinksUpToDate>false</LinksUpToDate>
  <CharactersWithSpaces>62852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2024-04-05T00:02:00Z</dcterms:created>
  <dc:creator>ZTE</dc:creator>
  <cp:lastModifiedBy>Minqiang</cp:lastModifiedBy>
  <cp:lastPrinted>2024-08-08T01:32:00Z</cp:lastPrinted>
  <dcterms:modified xsi:type="dcterms:W3CDTF">2024-09-30T06:35:39Z</dcterms:modified>
  <dc:title>3GPP TSG-RAN WG1</dc:title>
  <cp:revision>716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D2CF7DB796A54B4F9801CB472998A3FB</vt:lpwstr>
  </property>
</Properties>
</file>